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6C905641" w14:textId="52C323F2" w:rsidR="004D380B" w:rsidRDefault="005D0AED" w:rsidP="004D380B">
          <w:pPr>
            <w:pStyle w:val="Rubrik"/>
            <w:spacing w:before="960"/>
            <w:ind w:right="-1134"/>
            <w:rPr>
              <w:sz w:val="56"/>
            </w:rPr>
          </w:pPr>
          <w:sdt>
            <w:sdtPr>
              <w:rPr>
                <w:szCs w:val="60"/>
              </w:r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9E4C96">
                <w:rPr>
                  <w:szCs w:val="60"/>
                </w:rPr>
                <w:t>Göteborgs Stads rutin för förmedlingsärende</w:t>
              </w:r>
            </w:sdtContent>
          </w:sdt>
        </w:p>
        <w:p w14:paraId="498FF2A7" w14:textId="586E95ED" w:rsidR="00B70B3E" w:rsidRDefault="00E32C31" w:rsidP="004D380B">
          <w:pPr>
            <w:pStyle w:val="Rubrik"/>
            <w:spacing w:before="960"/>
            <w:ind w:right="-1134"/>
          </w:pPr>
          <w:r w:rsidRPr="00E32C31">
            <w:t xml:space="preserve"> </w:t>
          </w:r>
        </w:p>
        <w:p w14:paraId="257A95DE" w14:textId="77777777" w:rsidR="004D380B" w:rsidRPr="004D380B" w:rsidRDefault="004D380B" w:rsidP="004D380B"/>
        <w:sdt>
          <w:sdtPr>
            <w:rPr>
              <w:szCs w:val="40"/>
            </w:rPr>
            <w:id w:val="1789082226"/>
            <w:placeholder>
              <w:docPart w:val="7A505CFAB411498C99198938CA91DEAD"/>
            </w:placeholder>
            <w:text/>
          </w:sdtPr>
          <w:sdtEndPr/>
          <w:sdtContent>
            <w:p w14:paraId="15117E5B" w14:textId="357DBE93" w:rsidR="00777C4F" w:rsidRPr="00777C4F" w:rsidRDefault="00671788" w:rsidP="00E31C04">
              <w:pPr>
                <w:pStyle w:val="Underrubrik"/>
                <w:ind w:right="-1136"/>
              </w:pPr>
              <w:r w:rsidRPr="00707A8C">
                <w:rPr>
                  <w:szCs w:val="40"/>
                </w:rPr>
                <w:t xml:space="preserve">Gällande för </w:t>
              </w:r>
              <w:r>
                <w:rPr>
                  <w:szCs w:val="40"/>
                </w:rPr>
                <w:t>SF</w:t>
              </w:r>
              <w:r w:rsidRPr="00707A8C">
                <w:rPr>
                  <w:szCs w:val="40"/>
                </w:rPr>
                <w:t xml:space="preserve"> Centrum, </w:t>
              </w:r>
              <w:r>
                <w:rPr>
                  <w:szCs w:val="40"/>
                </w:rPr>
                <w:t xml:space="preserve">SF </w:t>
              </w:r>
              <w:r w:rsidRPr="00707A8C">
                <w:rPr>
                  <w:szCs w:val="40"/>
                </w:rPr>
                <w:t xml:space="preserve">Hisingen, </w:t>
              </w:r>
              <w:r>
                <w:rPr>
                  <w:szCs w:val="40"/>
                </w:rPr>
                <w:t xml:space="preserve">SF </w:t>
              </w:r>
              <w:r w:rsidRPr="00707A8C">
                <w:rPr>
                  <w:szCs w:val="40"/>
                </w:rPr>
                <w:t xml:space="preserve">Nordost och </w:t>
              </w:r>
              <w:r>
                <w:rPr>
                  <w:szCs w:val="40"/>
                </w:rPr>
                <w:t>SF S</w:t>
              </w:r>
              <w:r w:rsidRPr="00707A8C">
                <w:rPr>
                  <w:szCs w:val="40"/>
                </w:rPr>
                <w:t>ydväst</w:t>
              </w:r>
              <w:r w:rsidR="00D17C48">
                <w:rPr>
                  <w:szCs w:val="40"/>
                </w:rPr>
                <w:t xml:space="preserve"> </w:t>
              </w:r>
            </w:p>
          </w:sdtContent>
        </w:sdt>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1540A44D"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9E4C96">
            <w:rPr>
              <w:rFonts w:asciiTheme="majorHAnsi" w:hAnsiTheme="majorHAnsi" w:cstheme="majorHAnsi"/>
              <w:sz w:val="18"/>
              <w:szCs w:val="18"/>
            </w:rPr>
            <w:t>Göteborgs Stads rutin för förmedlingsärende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72684ED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55173C">
                  <w:rPr>
                    <w:rFonts w:asciiTheme="majorHAnsi" w:hAnsiTheme="majorHAnsi" w:cstheme="majorHAnsi"/>
                    <w:sz w:val="18"/>
                    <w:szCs w:val="18"/>
                  </w:rPr>
                  <w:t xml:space="preserve">AC-nätverket </w:t>
                </w:r>
                <w:r w:rsidR="00151CA1">
                  <w:rPr>
                    <w:rFonts w:asciiTheme="majorHAnsi" w:hAnsiTheme="majorHAnsi" w:cstheme="majorHAnsi"/>
                    <w:sz w:val="18"/>
                    <w:szCs w:val="18"/>
                  </w:rPr>
                  <w:t xml:space="preserve">vuxen och försörjningsstöd </w:t>
                </w:r>
              </w:sdtContent>
            </w:sdt>
          </w:p>
        </w:tc>
        <w:tc>
          <w:tcPr>
            <w:tcW w:w="2209" w:type="dxa"/>
          </w:tcPr>
          <w:p w14:paraId="5DD27D43" w14:textId="1851EAB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55173C">
                  <w:rPr>
                    <w:rFonts w:asciiTheme="majorHAnsi" w:hAnsiTheme="majorHAnsi" w:cstheme="majorHAnsi"/>
                    <w:sz w:val="18"/>
                    <w:szCs w:val="18"/>
                  </w:rPr>
                  <w:t xml:space="preserve">SF Centrum, SF Hisingen, SF Nordost samt SF Sydväst </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2CF1C210" w14:textId="1CD51C3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042A9B">
                  <w:rPr>
                    <w:rFonts w:asciiTheme="majorHAnsi" w:hAnsiTheme="majorHAnsi" w:cstheme="majorHAnsi"/>
                    <w:sz w:val="18"/>
                    <w:szCs w:val="18"/>
                  </w:rPr>
                  <w:t>240418</w:t>
                </w:r>
              </w:sdtContent>
            </w:sdt>
          </w:p>
        </w:tc>
      </w:tr>
      <w:tr w:rsidR="00031F7D" w:rsidRPr="00B26686" w14:paraId="020FBF1A" w14:textId="77777777" w:rsidTr="0004764B">
        <w:trPr>
          <w:trHeight w:val="730"/>
        </w:trPr>
        <w:tc>
          <w:tcPr>
            <w:tcW w:w="2409" w:type="dxa"/>
          </w:tcPr>
          <w:p w14:paraId="5F6953AF" w14:textId="5642430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55173C">
                  <w:rPr>
                    <w:rFonts w:asciiTheme="majorHAnsi" w:hAnsiTheme="majorHAnsi" w:cstheme="majorHAnsi"/>
                    <w:sz w:val="18"/>
                    <w:szCs w:val="18"/>
                  </w:rPr>
                  <w:t xml:space="preserve">Styrande dokument </w:t>
                </w:r>
              </w:sdtContent>
            </w:sdt>
          </w:p>
        </w:tc>
        <w:tc>
          <w:tcPr>
            <w:tcW w:w="2209" w:type="dxa"/>
          </w:tcPr>
          <w:p w14:paraId="66BC4606" w14:textId="62302C6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887AEB">
                  <w:rPr>
                    <w:rFonts w:asciiTheme="majorHAnsi" w:hAnsiTheme="majorHAnsi" w:cstheme="majorHAnsi"/>
                    <w:sz w:val="18"/>
                    <w:szCs w:val="18"/>
                  </w:rPr>
                  <w:t>Tills vidare</w:t>
                </w:r>
              </w:sdtContent>
            </w:sdt>
          </w:p>
        </w:tc>
        <w:tc>
          <w:tcPr>
            <w:tcW w:w="2216" w:type="dxa"/>
          </w:tcPr>
          <w:p w14:paraId="5FD75222" w14:textId="2C901CA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proofErr w:type="gramStart"/>
                <w:r w:rsidR="00EB3FFE">
                  <w:rPr>
                    <w:rFonts w:asciiTheme="majorHAnsi" w:hAnsiTheme="majorHAnsi" w:cstheme="majorHAnsi"/>
                    <w:sz w:val="18"/>
                    <w:szCs w:val="18"/>
                  </w:rPr>
                  <w:t>250</w:t>
                </w:r>
                <w:r w:rsidR="005D0AED">
                  <w:rPr>
                    <w:rFonts w:asciiTheme="majorHAnsi" w:hAnsiTheme="majorHAnsi" w:cstheme="majorHAnsi"/>
                    <w:sz w:val="18"/>
                    <w:szCs w:val="18"/>
                  </w:rPr>
                  <w:t>701</w:t>
                </w:r>
                <w:proofErr w:type="gramEnd"/>
              </w:sdtContent>
            </w:sdt>
          </w:p>
        </w:tc>
        <w:tc>
          <w:tcPr>
            <w:tcW w:w="2238" w:type="dxa"/>
          </w:tcPr>
          <w:p w14:paraId="6276C927" w14:textId="43EF1D7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F230EA">
                  <w:rPr>
                    <w:rFonts w:asciiTheme="majorHAnsi" w:hAnsiTheme="majorHAnsi" w:cstheme="majorHAnsi"/>
                    <w:sz w:val="18"/>
                    <w:szCs w:val="18"/>
                  </w:rPr>
                  <w:t xml:space="preserve">Processledare enheten för kvalitet </w:t>
                </w:r>
              </w:sdtContent>
            </w:sdt>
          </w:p>
        </w:tc>
      </w:tr>
    </w:tbl>
    <w:p w14:paraId="7950D8C7" w14:textId="2AB6778D"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showingPlcHdr/>
          <w:text w:multiLine="1"/>
        </w:sdtPr>
        <w:sdtEndPr/>
        <w:sdtContent>
          <w:r w:rsidRPr="00031F7D">
            <w:rPr>
              <w:rStyle w:val="Platshllartext"/>
              <w:rFonts w:asciiTheme="majorHAnsi" w:hAnsiTheme="majorHAnsi" w:cstheme="majorHAnsi"/>
              <w:sz w:val="18"/>
              <w:szCs w:val="18"/>
            </w:rPr>
            <w:t>[Bilagor]</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3011B874" w14:textId="7358165D" w:rsidR="009D202C" w:rsidRDefault="009F63F9">
          <w:pPr>
            <w:pStyle w:val="Innehll1"/>
            <w:tabs>
              <w:tab w:val="right" w:leader="dot" w:pos="7926"/>
            </w:tabs>
            <w:rPr>
              <w:rFonts w:asciiTheme="minorHAnsi" w:hAnsiTheme="minorHAnsi"/>
              <w:b w:val="0"/>
              <w:noProof/>
              <w:kern w:val="2"/>
              <w:szCs w:val="22"/>
              <w:lang w:eastAsia="sv-SE"/>
              <w14:ligatures w14:val="standardContextual"/>
            </w:rPr>
          </w:pPr>
          <w:r>
            <w:rPr>
              <w:bCs/>
              <w:noProof/>
            </w:rPr>
            <w:fldChar w:fldCharType="begin"/>
          </w:r>
          <w:r>
            <w:rPr>
              <w:bCs/>
              <w:noProof/>
            </w:rPr>
            <w:instrText xml:space="preserve"> TOC \o "1-3" \h \z </w:instrText>
          </w:r>
          <w:r>
            <w:rPr>
              <w:bCs/>
              <w:noProof/>
            </w:rPr>
            <w:fldChar w:fldCharType="separate"/>
          </w:r>
          <w:hyperlink w:anchor="_Toc164153902" w:history="1">
            <w:r w:rsidR="009D202C" w:rsidRPr="00181696">
              <w:rPr>
                <w:rStyle w:val="Hyperlnk"/>
                <w:noProof/>
              </w:rPr>
              <w:t>Inledning</w:t>
            </w:r>
            <w:r w:rsidR="009D202C">
              <w:rPr>
                <w:noProof/>
                <w:webHidden/>
              </w:rPr>
              <w:tab/>
            </w:r>
            <w:r w:rsidR="009D202C">
              <w:rPr>
                <w:noProof/>
                <w:webHidden/>
              </w:rPr>
              <w:fldChar w:fldCharType="begin"/>
            </w:r>
            <w:r w:rsidR="009D202C">
              <w:rPr>
                <w:noProof/>
                <w:webHidden/>
              </w:rPr>
              <w:instrText xml:space="preserve"> PAGEREF _Toc164153902 \h </w:instrText>
            </w:r>
            <w:r w:rsidR="009D202C">
              <w:rPr>
                <w:noProof/>
                <w:webHidden/>
              </w:rPr>
            </w:r>
            <w:r w:rsidR="009D202C">
              <w:rPr>
                <w:noProof/>
                <w:webHidden/>
              </w:rPr>
              <w:fldChar w:fldCharType="separate"/>
            </w:r>
            <w:r w:rsidR="00180E61">
              <w:rPr>
                <w:noProof/>
                <w:webHidden/>
              </w:rPr>
              <w:t>2</w:t>
            </w:r>
            <w:r w:rsidR="009D202C">
              <w:rPr>
                <w:noProof/>
                <w:webHidden/>
              </w:rPr>
              <w:fldChar w:fldCharType="end"/>
            </w:r>
          </w:hyperlink>
        </w:p>
        <w:p w14:paraId="32DE116F" w14:textId="7729DFEC"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3" w:history="1">
            <w:r w:rsidR="009D202C" w:rsidRPr="00181696">
              <w:rPr>
                <w:rStyle w:val="Hyperlnk"/>
                <w:noProof/>
              </w:rPr>
              <w:t>Syftet med denna rutin</w:t>
            </w:r>
            <w:r w:rsidR="009D202C">
              <w:rPr>
                <w:noProof/>
                <w:webHidden/>
              </w:rPr>
              <w:tab/>
            </w:r>
            <w:r w:rsidR="009D202C">
              <w:rPr>
                <w:noProof/>
                <w:webHidden/>
              </w:rPr>
              <w:fldChar w:fldCharType="begin"/>
            </w:r>
            <w:r w:rsidR="009D202C">
              <w:rPr>
                <w:noProof/>
                <w:webHidden/>
              </w:rPr>
              <w:instrText xml:space="preserve"> PAGEREF _Toc164153903 \h </w:instrText>
            </w:r>
            <w:r w:rsidR="009D202C">
              <w:rPr>
                <w:noProof/>
                <w:webHidden/>
              </w:rPr>
            </w:r>
            <w:r w:rsidR="009D202C">
              <w:rPr>
                <w:noProof/>
                <w:webHidden/>
              </w:rPr>
              <w:fldChar w:fldCharType="separate"/>
            </w:r>
            <w:r w:rsidR="00180E61">
              <w:rPr>
                <w:noProof/>
                <w:webHidden/>
              </w:rPr>
              <w:t>2</w:t>
            </w:r>
            <w:r w:rsidR="009D202C">
              <w:rPr>
                <w:noProof/>
                <w:webHidden/>
              </w:rPr>
              <w:fldChar w:fldCharType="end"/>
            </w:r>
          </w:hyperlink>
        </w:p>
        <w:p w14:paraId="0C4F9A42" w14:textId="02225F63"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4" w:history="1">
            <w:r w:rsidR="009D202C" w:rsidRPr="00181696">
              <w:rPr>
                <w:rStyle w:val="Hyperlnk"/>
                <w:noProof/>
              </w:rPr>
              <w:t>Vem omfattas av rutin</w:t>
            </w:r>
            <w:r w:rsidR="009D202C">
              <w:rPr>
                <w:noProof/>
                <w:webHidden/>
              </w:rPr>
              <w:tab/>
            </w:r>
            <w:r w:rsidR="009D202C">
              <w:rPr>
                <w:noProof/>
                <w:webHidden/>
              </w:rPr>
              <w:fldChar w:fldCharType="begin"/>
            </w:r>
            <w:r w:rsidR="009D202C">
              <w:rPr>
                <w:noProof/>
                <w:webHidden/>
              </w:rPr>
              <w:instrText xml:space="preserve"> PAGEREF _Toc164153904 \h </w:instrText>
            </w:r>
            <w:r w:rsidR="009D202C">
              <w:rPr>
                <w:noProof/>
                <w:webHidden/>
              </w:rPr>
            </w:r>
            <w:r w:rsidR="009D202C">
              <w:rPr>
                <w:noProof/>
                <w:webHidden/>
              </w:rPr>
              <w:fldChar w:fldCharType="separate"/>
            </w:r>
            <w:r w:rsidR="00180E61">
              <w:rPr>
                <w:noProof/>
                <w:webHidden/>
              </w:rPr>
              <w:t>2</w:t>
            </w:r>
            <w:r w:rsidR="009D202C">
              <w:rPr>
                <w:noProof/>
                <w:webHidden/>
              </w:rPr>
              <w:fldChar w:fldCharType="end"/>
            </w:r>
          </w:hyperlink>
        </w:p>
        <w:p w14:paraId="64DD7BAA" w14:textId="783540FD"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5" w:history="1">
            <w:r w:rsidR="009D202C" w:rsidRPr="00181696">
              <w:rPr>
                <w:rStyle w:val="Hyperlnk"/>
                <w:noProof/>
              </w:rPr>
              <w:t>Koppling till andra styrande dokument</w:t>
            </w:r>
            <w:r w:rsidR="009D202C">
              <w:rPr>
                <w:noProof/>
                <w:webHidden/>
              </w:rPr>
              <w:tab/>
            </w:r>
            <w:r w:rsidR="009D202C">
              <w:rPr>
                <w:noProof/>
                <w:webHidden/>
              </w:rPr>
              <w:fldChar w:fldCharType="begin"/>
            </w:r>
            <w:r w:rsidR="009D202C">
              <w:rPr>
                <w:noProof/>
                <w:webHidden/>
              </w:rPr>
              <w:instrText xml:space="preserve"> PAGEREF _Toc164153905 \h </w:instrText>
            </w:r>
            <w:r w:rsidR="009D202C">
              <w:rPr>
                <w:noProof/>
                <w:webHidden/>
              </w:rPr>
            </w:r>
            <w:r w:rsidR="009D202C">
              <w:rPr>
                <w:noProof/>
                <w:webHidden/>
              </w:rPr>
              <w:fldChar w:fldCharType="separate"/>
            </w:r>
            <w:r w:rsidR="00180E61">
              <w:rPr>
                <w:noProof/>
                <w:webHidden/>
              </w:rPr>
              <w:t>3</w:t>
            </w:r>
            <w:r w:rsidR="009D202C">
              <w:rPr>
                <w:noProof/>
                <w:webHidden/>
              </w:rPr>
              <w:fldChar w:fldCharType="end"/>
            </w:r>
          </w:hyperlink>
        </w:p>
        <w:p w14:paraId="1FDE109C" w14:textId="7E1EE37C"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6" w:history="1">
            <w:r w:rsidR="009D202C" w:rsidRPr="00181696">
              <w:rPr>
                <w:rStyle w:val="Hyperlnk"/>
                <w:noProof/>
              </w:rPr>
              <w:t>Stödjande dokument</w:t>
            </w:r>
            <w:r w:rsidR="009D202C">
              <w:rPr>
                <w:noProof/>
                <w:webHidden/>
              </w:rPr>
              <w:tab/>
            </w:r>
            <w:r w:rsidR="009D202C">
              <w:rPr>
                <w:noProof/>
                <w:webHidden/>
              </w:rPr>
              <w:fldChar w:fldCharType="begin"/>
            </w:r>
            <w:r w:rsidR="009D202C">
              <w:rPr>
                <w:noProof/>
                <w:webHidden/>
              </w:rPr>
              <w:instrText xml:space="preserve"> PAGEREF _Toc164153906 \h </w:instrText>
            </w:r>
            <w:r w:rsidR="009D202C">
              <w:rPr>
                <w:noProof/>
                <w:webHidden/>
              </w:rPr>
            </w:r>
            <w:r w:rsidR="009D202C">
              <w:rPr>
                <w:noProof/>
                <w:webHidden/>
              </w:rPr>
              <w:fldChar w:fldCharType="separate"/>
            </w:r>
            <w:r w:rsidR="00180E61">
              <w:rPr>
                <w:noProof/>
                <w:webHidden/>
              </w:rPr>
              <w:t>3</w:t>
            </w:r>
            <w:r w:rsidR="009D202C">
              <w:rPr>
                <w:noProof/>
                <w:webHidden/>
              </w:rPr>
              <w:fldChar w:fldCharType="end"/>
            </w:r>
          </w:hyperlink>
        </w:p>
        <w:p w14:paraId="25300112" w14:textId="55BE6DFF" w:rsidR="009D202C" w:rsidRDefault="005D0AED">
          <w:pPr>
            <w:pStyle w:val="Innehll1"/>
            <w:tabs>
              <w:tab w:val="right" w:leader="dot" w:pos="7926"/>
            </w:tabs>
            <w:rPr>
              <w:rFonts w:asciiTheme="minorHAnsi" w:hAnsiTheme="minorHAnsi"/>
              <w:b w:val="0"/>
              <w:noProof/>
              <w:kern w:val="2"/>
              <w:szCs w:val="22"/>
              <w:lang w:eastAsia="sv-SE"/>
              <w14:ligatures w14:val="standardContextual"/>
            </w:rPr>
          </w:pPr>
          <w:hyperlink w:anchor="_Toc164153907" w:history="1">
            <w:r w:rsidR="009D202C" w:rsidRPr="00181696">
              <w:rPr>
                <w:rStyle w:val="Hyperlnk"/>
                <w:noProof/>
              </w:rPr>
              <w:t>Rutin</w:t>
            </w:r>
            <w:r w:rsidR="009D202C">
              <w:rPr>
                <w:noProof/>
                <w:webHidden/>
              </w:rPr>
              <w:tab/>
            </w:r>
            <w:r w:rsidR="009D202C">
              <w:rPr>
                <w:noProof/>
                <w:webHidden/>
              </w:rPr>
              <w:fldChar w:fldCharType="begin"/>
            </w:r>
            <w:r w:rsidR="009D202C">
              <w:rPr>
                <w:noProof/>
                <w:webHidden/>
              </w:rPr>
              <w:instrText xml:space="preserve"> PAGEREF _Toc164153907 \h </w:instrText>
            </w:r>
            <w:r w:rsidR="009D202C">
              <w:rPr>
                <w:noProof/>
                <w:webHidden/>
              </w:rPr>
            </w:r>
            <w:r w:rsidR="009D202C">
              <w:rPr>
                <w:noProof/>
                <w:webHidden/>
              </w:rPr>
              <w:fldChar w:fldCharType="separate"/>
            </w:r>
            <w:r w:rsidR="00180E61">
              <w:rPr>
                <w:noProof/>
                <w:webHidden/>
              </w:rPr>
              <w:t>4</w:t>
            </w:r>
            <w:r w:rsidR="009D202C">
              <w:rPr>
                <w:noProof/>
                <w:webHidden/>
              </w:rPr>
              <w:fldChar w:fldCharType="end"/>
            </w:r>
          </w:hyperlink>
        </w:p>
        <w:p w14:paraId="3DA5E58F" w14:textId="4BACC5A5"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8" w:history="1">
            <w:r w:rsidR="009D202C" w:rsidRPr="00181696">
              <w:rPr>
                <w:rStyle w:val="Hyperlnk"/>
                <w:rFonts w:ascii="Arial" w:hAnsi="Arial" w:cs="Arial"/>
                <w:bCs/>
                <w:noProof/>
              </w:rPr>
              <w:t>Utredning</w:t>
            </w:r>
            <w:r w:rsidR="009D202C">
              <w:rPr>
                <w:noProof/>
                <w:webHidden/>
              </w:rPr>
              <w:tab/>
            </w:r>
            <w:r w:rsidR="009D202C">
              <w:rPr>
                <w:noProof/>
                <w:webHidden/>
              </w:rPr>
              <w:fldChar w:fldCharType="begin"/>
            </w:r>
            <w:r w:rsidR="009D202C">
              <w:rPr>
                <w:noProof/>
                <w:webHidden/>
              </w:rPr>
              <w:instrText xml:space="preserve"> PAGEREF _Toc164153908 \h </w:instrText>
            </w:r>
            <w:r w:rsidR="009D202C">
              <w:rPr>
                <w:noProof/>
                <w:webHidden/>
              </w:rPr>
            </w:r>
            <w:r w:rsidR="009D202C">
              <w:rPr>
                <w:noProof/>
                <w:webHidden/>
              </w:rPr>
              <w:fldChar w:fldCharType="separate"/>
            </w:r>
            <w:r w:rsidR="00180E61">
              <w:rPr>
                <w:noProof/>
                <w:webHidden/>
              </w:rPr>
              <w:t>4</w:t>
            </w:r>
            <w:r w:rsidR="009D202C">
              <w:rPr>
                <w:noProof/>
                <w:webHidden/>
              </w:rPr>
              <w:fldChar w:fldCharType="end"/>
            </w:r>
          </w:hyperlink>
        </w:p>
        <w:p w14:paraId="20646682" w14:textId="7D4AEEE1"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09" w:history="1">
            <w:r w:rsidR="009D202C" w:rsidRPr="00181696">
              <w:rPr>
                <w:rStyle w:val="Hyperlnk"/>
                <w:rFonts w:ascii="Arial" w:hAnsi="Arial" w:cs="Arial"/>
                <w:bCs/>
                <w:noProof/>
              </w:rPr>
              <w:t>Beslut</w:t>
            </w:r>
            <w:r w:rsidR="009D202C">
              <w:rPr>
                <w:noProof/>
                <w:webHidden/>
              </w:rPr>
              <w:tab/>
            </w:r>
            <w:r w:rsidR="009D202C">
              <w:rPr>
                <w:noProof/>
                <w:webHidden/>
              </w:rPr>
              <w:fldChar w:fldCharType="begin"/>
            </w:r>
            <w:r w:rsidR="009D202C">
              <w:rPr>
                <w:noProof/>
                <w:webHidden/>
              </w:rPr>
              <w:instrText xml:space="preserve"> PAGEREF _Toc164153909 \h </w:instrText>
            </w:r>
            <w:r w:rsidR="009D202C">
              <w:rPr>
                <w:noProof/>
                <w:webHidden/>
              </w:rPr>
            </w:r>
            <w:r w:rsidR="009D202C">
              <w:rPr>
                <w:noProof/>
                <w:webHidden/>
              </w:rPr>
              <w:fldChar w:fldCharType="separate"/>
            </w:r>
            <w:r w:rsidR="00180E61">
              <w:rPr>
                <w:noProof/>
                <w:webHidden/>
              </w:rPr>
              <w:t>5</w:t>
            </w:r>
            <w:r w:rsidR="009D202C">
              <w:rPr>
                <w:noProof/>
                <w:webHidden/>
              </w:rPr>
              <w:fldChar w:fldCharType="end"/>
            </w:r>
          </w:hyperlink>
        </w:p>
        <w:p w14:paraId="46BD4E9C" w14:textId="2C5D19A1"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10" w:history="1">
            <w:r w:rsidR="009D202C" w:rsidRPr="00181696">
              <w:rPr>
                <w:rStyle w:val="Hyperlnk"/>
                <w:rFonts w:ascii="Arial" w:hAnsi="Arial" w:cs="Arial"/>
                <w:bCs/>
                <w:noProof/>
              </w:rPr>
              <w:t>Fullmakt</w:t>
            </w:r>
            <w:r w:rsidR="009D202C">
              <w:rPr>
                <w:noProof/>
                <w:webHidden/>
              </w:rPr>
              <w:tab/>
            </w:r>
            <w:r w:rsidR="009D202C">
              <w:rPr>
                <w:noProof/>
                <w:webHidden/>
              </w:rPr>
              <w:fldChar w:fldCharType="begin"/>
            </w:r>
            <w:r w:rsidR="009D202C">
              <w:rPr>
                <w:noProof/>
                <w:webHidden/>
              </w:rPr>
              <w:instrText xml:space="preserve"> PAGEREF _Toc164153910 \h </w:instrText>
            </w:r>
            <w:r w:rsidR="009D202C">
              <w:rPr>
                <w:noProof/>
                <w:webHidden/>
              </w:rPr>
            </w:r>
            <w:r w:rsidR="009D202C">
              <w:rPr>
                <w:noProof/>
                <w:webHidden/>
              </w:rPr>
              <w:fldChar w:fldCharType="separate"/>
            </w:r>
            <w:r w:rsidR="00180E61">
              <w:rPr>
                <w:noProof/>
                <w:webHidden/>
              </w:rPr>
              <w:t>5</w:t>
            </w:r>
            <w:r w:rsidR="009D202C">
              <w:rPr>
                <w:noProof/>
                <w:webHidden/>
              </w:rPr>
              <w:fldChar w:fldCharType="end"/>
            </w:r>
          </w:hyperlink>
        </w:p>
        <w:p w14:paraId="677D9827" w14:textId="29B0D807"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11" w:history="1">
            <w:r w:rsidR="009D202C" w:rsidRPr="00181696">
              <w:rPr>
                <w:rStyle w:val="Hyperlnk"/>
                <w:rFonts w:ascii="Arial" w:hAnsi="Arial" w:cs="Arial"/>
                <w:bCs/>
                <w:noProof/>
              </w:rPr>
              <w:t>Betalningsplan</w:t>
            </w:r>
            <w:r w:rsidR="009D202C">
              <w:rPr>
                <w:noProof/>
                <w:webHidden/>
              </w:rPr>
              <w:tab/>
            </w:r>
            <w:r w:rsidR="009D202C">
              <w:rPr>
                <w:noProof/>
                <w:webHidden/>
              </w:rPr>
              <w:fldChar w:fldCharType="begin"/>
            </w:r>
            <w:r w:rsidR="009D202C">
              <w:rPr>
                <w:noProof/>
                <w:webHidden/>
              </w:rPr>
              <w:instrText xml:space="preserve"> PAGEREF _Toc164153911 \h </w:instrText>
            </w:r>
            <w:r w:rsidR="009D202C">
              <w:rPr>
                <w:noProof/>
                <w:webHidden/>
              </w:rPr>
            </w:r>
            <w:r w:rsidR="009D202C">
              <w:rPr>
                <w:noProof/>
                <w:webHidden/>
              </w:rPr>
              <w:fldChar w:fldCharType="separate"/>
            </w:r>
            <w:r w:rsidR="00180E61">
              <w:rPr>
                <w:noProof/>
                <w:webHidden/>
              </w:rPr>
              <w:t>5</w:t>
            </w:r>
            <w:r w:rsidR="009D202C">
              <w:rPr>
                <w:noProof/>
                <w:webHidden/>
              </w:rPr>
              <w:fldChar w:fldCharType="end"/>
            </w:r>
          </w:hyperlink>
        </w:p>
        <w:p w14:paraId="5842F612" w14:textId="724A4B05"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12" w:history="1">
            <w:r w:rsidR="009D202C" w:rsidRPr="00181696">
              <w:rPr>
                <w:rStyle w:val="Hyperlnk"/>
                <w:rFonts w:ascii="Arial" w:hAnsi="Arial" w:cs="Arial"/>
                <w:bCs/>
                <w:noProof/>
              </w:rPr>
              <w:t>Arbetsplan</w:t>
            </w:r>
            <w:r w:rsidR="009D202C">
              <w:rPr>
                <w:noProof/>
                <w:webHidden/>
              </w:rPr>
              <w:tab/>
            </w:r>
            <w:r w:rsidR="009D202C">
              <w:rPr>
                <w:noProof/>
                <w:webHidden/>
              </w:rPr>
              <w:fldChar w:fldCharType="begin"/>
            </w:r>
            <w:r w:rsidR="009D202C">
              <w:rPr>
                <w:noProof/>
                <w:webHidden/>
              </w:rPr>
              <w:instrText xml:space="preserve"> PAGEREF _Toc164153912 \h </w:instrText>
            </w:r>
            <w:r w:rsidR="009D202C">
              <w:rPr>
                <w:noProof/>
                <w:webHidden/>
              </w:rPr>
            </w:r>
            <w:r w:rsidR="009D202C">
              <w:rPr>
                <w:noProof/>
                <w:webHidden/>
              </w:rPr>
              <w:fldChar w:fldCharType="separate"/>
            </w:r>
            <w:r w:rsidR="00180E61">
              <w:rPr>
                <w:noProof/>
                <w:webHidden/>
              </w:rPr>
              <w:t>5</w:t>
            </w:r>
            <w:r w:rsidR="009D202C">
              <w:rPr>
                <w:noProof/>
                <w:webHidden/>
              </w:rPr>
              <w:fldChar w:fldCharType="end"/>
            </w:r>
          </w:hyperlink>
        </w:p>
        <w:p w14:paraId="1BE6EB94" w14:textId="04D89C06" w:rsidR="009D202C" w:rsidRDefault="005D0AED">
          <w:pPr>
            <w:pStyle w:val="Innehll2"/>
            <w:tabs>
              <w:tab w:val="right" w:leader="dot" w:pos="7926"/>
            </w:tabs>
            <w:rPr>
              <w:rFonts w:asciiTheme="minorHAnsi" w:hAnsiTheme="minorHAnsi"/>
              <w:noProof/>
              <w:kern w:val="2"/>
              <w:szCs w:val="22"/>
              <w:lang w:eastAsia="sv-SE"/>
              <w14:ligatures w14:val="standardContextual"/>
            </w:rPr>
          </w:pPr>
          <w:hyperlink w:anchor="_Toc164153913" w:history="1">
            <w:r w:rsidR="009D202C" w:rsidRPr="00181696">
              <w:rPr>
                <w:rStyle w:val="Hyperlnk"/>
                <w:rFonts w:ascii="Arial" w:hAnsi="Arial" w:cs="Arial"/>
                <w:bCs/>
                <w:noProof/>
              </w:rPr>
              <w:t>Redovisning</w:t>
            </w:r>
            <w:r w:rsidR="009D202C">
              <w:rPr>
                <w:noProof/>
                <w:webHidden/>
              </w:rPr>
              <w:tab/>
            </w:r>
            <w:r w:rsidR="009D202C">
              <w:rPr>
                <w:noProof/>
                <w:webHidden/>
              </w:rPr>
              <w:fldChar w:fldCharType="begin"/>
            </w:r>
            <w:r w:rsidR="009D202C">
              <w:rPr>
                <w:noProof/>
                <w:webHidden/>
              </w:rPr>
              <w:instrText xml:space="preserve"> PAGEREF _Toc164153913 \h </w:instrText>
            </w:r>
            <w:r w:rsidR="009D202C">
              <w:rPr>
                <w:noProof/>
                <w:webHidden/>
              </w:rPr>
            </w:r>
            <w:r w:rsidR="009D202C">
              <w:rPr>
                <w:noProof/>
                <w:webHidden/>
              </w:rPr>
              <w:fldChar w:fldCharType="separate"/>
            </w:r>
            <w:r w:rsidR="00180E61">
              <w:rPr>
                <w:noProof/>
                <w:webHidden/>
              </w:rPr>
              <w:t>6</w:t>
            </w:r>
            <w:r w:rsidR="009D202C">
              <w:rPr>
                <w:noProof/>
                <w:webHidden/>
              </w:rPr>
              <w:fldChar w:fldCharType="end"/>
            </w:r>
          </w:hyperlink>
        </w:p>
        <w:p w14:paraId="79536EC4" w14:textId="04E85AD8" w:rsidR="00C92305" w:rsidRDefault="009F63F9">
          <w:r>
            <w:rPr>
              <w:rFonts w:asciiTheme="majorHAnsi" w:hAnsiTheme="majorHAnsi"/>
              <w:bCs/>
              <w:noProof/>
            </w:rPr>
            <w:fldChar w:fldCharType="end"/>
          </w:r>
        </w:p>
      </w:sdtContent>
    </w:sdt>
    <w:bookmarkStart w:id="1" w:name="_Toc68098959" w:displacedByCustomXml="next"/>
    <w:bookmarkStart w:id="2" w:name="_Toc164153902" w:displacedByCustomXml="next"/>
    <w:sdt>
      <w:sdtPr>
        <w:rPr>
          <w:sz w:val="27"/>
          <w:szCs w:val="28"/>
        </w:rPr>
        <w:id w:val="-642495928"/>
        <w:lock w:val="contentLocked"/>
        <w:placeholder>
          <w:docPart w:val="1E86A050A95649B59A18333649A854D7"/>
        </w:placeholder>
        <w:group/>
      </w:sdtPr>
      <w:sdtEndPr/>
      <w:sdtContent>
        <w:p w14:paraId="1CF4B7FA" w14:textId="77777777" w:rsidR="00C92305" w:rsidRDefault="00C92305" w:rsidP="00C92305">
          <w:pPr>
            <w:pStyle w:val="Rubrik1"/>
          </w:pPr>
          <w:r>
            <w:t>Inledning</w:t>
          </w:r>
          <w:bookmarkEnd w:id="2"/>
          <w:bookmarkEnd w:id="1"/>
        </w:p>
        <w:p w14:paraId="7342A931" w14:textId="03DCF82B" w:rsidR="003D0609" w:rsidRDefault="003D0609" w:rsidP="003D0609">
          <w:pPr>
            <w:pStyle w:val="Rubrik2"/>
          </w:pPr>
          <w:bookmarkStart w:id="3" w:name="_Toc68098960"/>
          <w:bookmarkStart w:id="4" w:name="_Toc164153903"/>
          <w:r>
            <w:t>Syftet med de</w:t>
          </w:r>
          <w:r w:rsidR="00880F96">
            <w:t xml:space="preserve">nna </w:t>
          </w:r>
          <w:r w:rsidR="00B70B3E">
            <w:t>rutin</w:t>
          </w:r>
        </w:p>
      </w:sdtContent>
    </w:sdt>
    <w:bookmarkEnd w:id="4" w:displacedByCustomXml="prev"/>
    <w:bookmarkEnd w:id="3" w:displacedByCustomXml="prev"/>
    <w:p w14:paraId="01E0223F" w14:textId="4557204E" w:rsidR="00CF0C82" w:rsidRPr="00BD5EAE" w:rsidRDefault="00CF0C82" w:rsidP="00CF0C82">
      <w:pPr>
        <w:rPr>
          <w:rFonts w:cstheme="minorHAnsi"/>
        </w:rPr>
      </w:pPr>
      <w:r w:rsidRPr="00BD5EAE">
        <w:rPr>
          <w:rFonts w:cstheme="minorHAnsi"/>
        </w:rPr>
        <w:t>Syftet med</w:t>
      </w:r>
      <w:r w:rsidR="00114757" w:rsidRPr="00BD5EAE">
        <w:rPr>
          <w:rFonts w:cstheme="minorHAnsi"/>
        </w:rPr>
        <w:t xml:space="preserve"> rutin </w:t>
      </w:r>
      <w:r w:rsidRPr="00BD5EAE">
        <w:rPr>
          <w:rFonts w:cstheme="minorHAnsi"/>
        </w:rPr>
        <w:t xml:space="preserve">är att </w:t>
      </w:r>
      <w:r w:rsidR="00F230EA" w:rsidRPr="00BD5EAE">
        <w:rPr>
          <w:rFonts w:cstheme="minorHAnsi"/>
        </w:rPr>
        <w:t xml:space="preserve">Socialförvaltningarna ska </w:t>
      </w:r>
      <w:r w:rsidRPr="00BD5EAE">
        <w:rPr>
          <w:rFonts w:cstheme="minorHAnsi"/>
        </w:rPr>
        <w:t xml:space="preserve">ha </w:t>
      </w:r>
      <w:r w:rsidR="006229B5" w:rsidRPr="00BD5EAE">
        <w:rPr>
          <w:rFonts w:cstheme="minorHAnsi"/>
        </w:rPr>
        <w:t xml:space="preserve">gemensamma utgångspunkter vid </w:t>
      </w:r>
      <w:r w:rsidR="006B1AB2" w:rsidRPr="00BD5EAE">
        <w:rPr>
          <w:rFonts w:cstheme="minorHAnsi"/>
        </w:rPr>
        <w:t>handläggning och beslut</w:t>
      </w:r>
      <w:r w:rsidR="006229B5" w:rsidRPr="00BD5EAE">
        <w:rPr>
          <w:rFonts w:cstheme="minorHAnsi"/>
        </w:rPr>
        <w:t xml:space="preserve"> </w:t>
      </w:r>
      <w:r w:rsidR="00E81440" w:rsidRPr="00BD5EAE">
        <w:rPr>
          <w:rFonts w:cstheme="minorHAnsi"/>
        </w:rPr>
        <w:t xml:space="preserve">gällande </w:t>
      </w:r>
      <w:r w:rsidR="00E97BA3" w:rsidRPr="00BD5EAE">
        <w:rPr>
          <w:rFonts w:cstheme="minorHAnsi"/>
        </w:rPr>
        <w:t>förmedlingsärende</w:t>
      </w:r>
      <w:r w:rsidR="004672FA">
        <w:rPr>
          <w:rFonts w:cstheme="minorHAnsi"/>
        </w:rPr>
        <w:t xml:space="preserve">. </w:t>
      </w:r>
    </w:p>
    <w:bookmarkStart w:id="5" w:name="_Toc164153904"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7011DC7A" w:rsidR="003D0609" w:rsidRDefault="003D0609" w:rsidP="003D0609">
          <w:pPr>
            <w:pStyle w:val="Rubrik2"/>
          </w:pPr>
          <w:r>
            <w:t xml:space="preserve">Vem omfattas av </w:t>
          </w:r>
          <w:r w:rsidR="00B70B3E">
            <w:t>rutin</w:t>
          </w:r>
        </w:p>
      </w:sdtContent>
    </w:sdt>
    <w:bookmarkEnd w:id="5" w:displacedByCustomXml="prev"/>
    <w:bookmarkEnd w:id="6" w:displacedByCustomXml="prev"/>
    <w:p w14:paraId="3F6CB66F" w14:textId="6C7B18EE" w:rsidR="00E32C31" w:rsidRPr="00BD5EAE" w:rsidRDefault="00D8399A" w:rsidP="005161CF">
      <w:pPr>
        <w:rPr>
          <w:rFonts w:ascii="Times New Roman" w:hAnsi="Times New Roman" w:cs="Times New Roman"/>
        </w:rPr>
      </w:pPr>
      <w:bookmarkStart w:id="7" w:name="_Toc68098962"/>
      <w:r w:rsidRPr="00BD5EAE">
        <w:rPr>
          <w:rFonts w:ascii="Times New Roman" w:hAnsi="Times New Roman" w:cs="Times New Roman"/>
        </w:rPr>
        <w:t xml:space="preserve">Rutinen </w:t>
      </w:r>
      <w:r w:rsidR="00624B8D" w:rsidRPr="00BD5EAE">
        <w:rPr>
          <w:rFonts w:ascii="Times New Roman" w:hAnsi="Times New Roman" w:cs="Times New Roman"/>
        </w:rPr>
        <w:t xml:space="preserve">omfattar personal som arbetar med ekonomiskt bistånd inom </w:t>
      </w:r>
      <w:r w:rsidRPr="00BD5EAE">
        <w:rPr>
          <w:rFonts w:ascii="Times New Roman" w:hAnsi="Times New Roman" w:cs="Times New Roman"/>
        </w:rPr>
        <w:t xml:space="preserve">SF Centrum, SF Hisingen, SF Nordost, SF Sydväst.  </w:t>
      </w:r>
    </w:p>
    <w:p w14:paraId="65D70D5A" w14:textId="12681400" w:rsidR="003D0609" w:rsidRDefault="003D0609" w:rsidP="003D0609">
      <w:pPr>
        <w:pStyle w:val="Rubrik2"/>
      </w:pPr>
      <w:bookmarkStart w:id="8" w:name="_Toc68098963"/>
      <w:bookmarkStart w:id="9" w:name="_Toc164153905"/>
      <w:bookmarkEnd w:id="7"/>
      <w:r>
        <w:lastRenderedPageBreak/>
        <w:t>Koppling till andra styrande dokument</w:t>
      </w:r>
      <w:bookmarkEnd w:id="8"/>
      <w:bookmarkEnd w:id="9"/>
    </w:p>
    <w:tbl>
      <w:tblPr>
        <w:tblStyle w:val="Tabellrutnt"/>
        <w:tblW w:w="0" w:type="auto"/>
        <w:tblCellMar>
          <w:top w:w="85" w:type="dxa"/>
          <w:bottom w:w="85" w:type="dxa"/>
        </w:tblCellMar>
        <w:tblLook w:val="04A0" w:firstRow="1" w:lastRow="0" w:firstColumn="1" w:lastColumn="0" w:noHBand="0" w:noVBand="1"/>
      </w:tblPr>
      <w:tblGrid>
        <w:gridCol w:w="3963"/>
        <w:gridCol w:w="3963"/>
      </w:tblGrid>
      <w:tr w:rsidR="007F40CB" w14:paraId="5F0CC6E6" w14:textId="77777777" w:rsidTr="00AC010A">
        <w:trPr>
          <w:cnfStyle w:val="100000000000" w:firstRow="1" w:lastRow="0" w:firstColumn="0" w:lastColumn="0" w:oddVBand="0" w:evenVBand="0" w:oddHBand="0" w:evenHBand="0" w:firstRowFirstColumn="0" w:firstRowLastColumn="0" w:lastRowFirstColumn="0" w:lastRowLastColumn="0"/>
          <w:trHeight w:val="283"/>
        </w:trPr>
        <w:tc>
          <w:tcPr>
            <w:tcW w:w="3963" w:type="dxa"/>
            <w:vAlign w:val="center"/>
          </w:tcPr>
          <w:p w14:paraId="291E0D11" w14:textId="77777777" w:rsidR="007F40CB" w:rsidRPr="003926E1" w:rsidRDefault="007F40CB" w:rsidP="00AC010A">
            <w:pPr>
              <w:spacing w:before="40" w:after="0" w:afterAutospacing="0"/>
              <w:rPr>
                <w:rFonts w:asciiTheme="majorHAnsi" w:hAnsiTheme="majorHAnsi" w:cstheme="majorHAnsi"/>
                <w:sz w:val="20"/>
                <w:szCs w:val="22"/>
              </w:rPr>
            </w:pPr>
            <w:bookmarkStart w:id="10" w:name="_Hlk71114406"/>
            <w:bookmarkStart w:id="11" w:name="_Toc68098964"/>
            <w:r w:rsidRPr="003926E1">
              <w:rPr>
                <w:rFonts w:asciiTheme="majorHAnsi" w:hAnsiTheme="majorHAnsi" w:cstheme="majorHAnsi"/>
                <w:sz w:val="20"/>
                <w:szCs w:val="22"/>
              </w:rPr>
              <w:t>Styrande dokument</w:t>
            </w:r>
          </w:p>
        </w:tc>
        <w:tc>
          <w:tcPr>
            <w:tcW w:w="3963" w:type="dxa"/>
            <w:vAlign w:val="center"/>
          </w:tcPr>
          <w:p w14:paraId="00E7FE20" w14:textId="77777777" w:rsidR="007F40CB" w:rsidRPr="003926E1" w:rsidRDefault="007F40CB" w:rsidP="00AC010A">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Koppling till de</w:t>
            </w:r>
            <w:r>
              <w:rPr>
                <w:rFonts w:asciiTheme="majorHAnsi" w:hAnsiTheme="majorHAnsi" w:cstheme="majorHAnsi"/>
                <w:sz w:val="20"/>
                <w:szCs w:val="22"/>
              </w:rPr>
              <w:t>nna anvisning</w:t>
            </w:r>
          </w:p>
        </w:tc>
      </w:tr>
      <w:tr w:rsidR="007F40CB" w14:paraId="7F870CA1" w14:textId="77777777" w:rsidTr="00AC010A">
        <w:trPr>
          <w:trHeight w:val="283"/>
        </w:trPr>
        <w:tc>
          <w:tcPr>
            <w:tcW w:w="3963" w:type="dxa"/>
          </w:tcPr>
          <w:p w14:paraId="72CC22F2" w14:textId="12936725" w:rsidR="007F40CB" w:rsidRDefault="005D0AED" w:rsidP="00AC010A">
            <w:pPr>
              <w:spacing w:after="0" w:afterAutospacing="0"/>
            </w:pPr>
            <w:hyperlink r:id="rId14" w:history="1">
              <w:r w:rsidR="007F40CB" w:rsidRPr="00F07AFC">
                <w:rPr>
                  <w:rStyle w:val="Hyperlnk"/>
                  <w:rFonts w:ascii="Calibri" w:eastAsiaTheme="minorHAnsi" w:hAnsi="Calibri" w:cs="Calibri"/>
                  <w:bCs/>
                  <w:szCs w:val="22"/>
                </w:rPr>
                <w:t>Göteborgs Stads riktlinjer för individuellt ekonomiskt stöd</w:t>
              </w:r>
            </w:hyperlink>
          </w:p>
        </w:tc>
        <w:tc>
          <w:tcPr>
            <w:tcW w:w="3963" w:type="dxa"/>
          </w:tcPr>
          <w:p w14:paraId="1C659162" w14:textId="20B6DAC9" w:rsidR="007F40CB" w:rsidRDefault="007F40CB" w:rsidP="005161CF">
            <w:pPr>
              <w:spacing w:after="100"/>
            </w:pPr>
          </w:p>
        </w:tc>
      </w:tr>
      <w:tr w:rsidR="00930E55" w14:paraId="7466A0F4" w14:textId="77777777" w:rsidTr="00AC010A">
        <w:trPr>
          <w:trHeight w:val="283"/>
        </w:trPr>
        <w:tc>
          <w:tcPr>
            <w:tcW w:w="3963" w:type="dxa"/>
          </w:tcPr>
          <w:p w14:paraId="305BF6A6" w14:textId="359A127E" w:rsidR="00930E55" w:rsidRDefault="005D0AED" w:rsidP="00AC010A">
            <w:pPr>
              <w:spacing w:after="0"/>
            </w:pPr>
            <w:hyperlink r:id="rId15" w:history="1">
              <w:r w:rsidR="00930E55" w:rsidRPr="00930E55">
                <w:rPr>
                  <w:rStyle w:val="Hyperlnk"/>
                </w:rPr>
                <w:t>Rutin för samverkan mellan förvaltningarna i arbetet med att förebygga avhysning</w:t>
              </w:r>
            </w:hyperlink>
          </w:p>
        </w:tc>
        <w:tc>
          <w:tcPr>
            <w:tcW w:w="3963" w:type="dxa"/>
          </w:tcPr>
          <w:p w14:paraId="5311FEBE" w14:textId="092E0F2E" w:rsidR="00930E55" w:rsidRDefault="00930E55" w:rsidP="005161CF">
            <w:pPr>
              <w:spacing w:after="100"/>
            </w:pPr>
            <w:r>
              <w:t>Förmedlingsärende som åtgärd i vräkningsförebyggande arbete</w:t>
            </w:r>
          </w:p>
        </w:tc>
      </w:tr>
      <w:tr w:rsidR="00930E55" w14:paraId="7467525A" w14:textId="77777777" w:rsidTr="00AC010A">
        <w:trPr>
          <w:trHeight w:val="283"/>
        </w:trPr>
        <w:tc>
          <w:tcPr>
            <w:tcW w:w="3963" w:type="dxa"/>
          </w:tcPr>
          <w:p w14:paraId="70EBBC8C" w14:textId="28C9D0C0" w:rsidR="00930E55" w:rsidRDefault="005D0AED" w:rsidP="00AC010A">
            <w:pPr>
              <w:spacing w:after="0"/>
            </w:pPr>
            <w:hyperlink r:id="rId16" w:history="1">
              <w:r w:rsidR="00930E55" w:rsidRPr="00930E55">
                <w:rPr>
                  <w:rStyle w:val="Hyperlnk"/>
                </w:rPr>
                <w:t>Rutin för intern samordning av socialförvaltningarnas arbete med att förebygga avhysningar</w:t>
              </w:r>
            </w:hyperlink>
          </w:p>
        </w:tc>
        <w:tc>
          <w:tcPr>
            <w:tcW w:w="3963" w:type="dxa"/>
          </w:tcPr>
          <w:p w14:paraId="1EAD2B6A" w14:textId="6F862B0A" w:rsidR="00930E55" w:rsidRDefault="00930E55" w:rsidP="005161CF">
            <w:pPr>
              <w:spacing w:after="100"/>
            </w:pPr>
            <w:r>
              <w:t>Förmedlingsärende som åtgärd i vräkningsförebyggande arbete</w:t>
            </w:r>
          </w:p>
        </w:tc>
      </w:tr>
      <w:bookmarkEnd w:id="10"/>
    </w:tbl>
    <w:p w14:paraId="1C66E250" w14:textId="77777777" w:rsidR="00E32C31" w:rsidRPr="00E32C31" w:rsidRDefault="00E32C31" w:rsidP="00E32C31"/>
    <w:p w14:paraId="68EF1F1E" w14:textId="110EC512" w:rsidR="003D0609" w:rsidRDefault="003D0609" w:rsidP="003D0609">
      <w:pPr>
        <w:pStyle w:val="Rubrik2"/>
      </w:pPr>
      <w:bookmarkStart w:id="12" w:name="_Toc164153906"/>
      <w:r>
        <w:t>Stödjande dokument</w:t>
      </w:r>
      <w:bookmarkEnd w:id="11"/>
      <w:bookmarkEnd w:id="12"/>
    </w:p>
    <w:p w14:paraId="60E92901" w14:textId="22BD15A1" w:rsidR="00E32C31" w:rsidRPr="000F4292" w:rsidRDefault="00624B8D" w:rsidP="00DF7A9C">
      <w:r>
        <w:t xml:space="preserve">Checklista </w:t>
      </w:r>
      <w:r w:rsidR="004814FA">
        <w:t xml:space="preserve">handläggningsstöd vid förmedlingsärende </w:t>
      </w:r>
    </w:p>
    <w:p w14:paraId="4655BFE7" w14:textId="77777777" w:rsidR="00C92305" w:rsidRDefault="00C92305">
      <w:pPr>
        <w:spacing w:after="240" w:line="240" w:lineRule="auto"/>
      </w:pPr>
      <w:r>
        <w:br w:type="page"/>
      </w:r>
    </w:p>
    <w:p w14:paraId="726BDC22" w14:textId="59F41F28" w:rsidR="00DB2DAC" w:rsidRDefault="00B70B3E" w:rsidP="006D2ECA">
      <w:pPr>
        <w:pStyle w:val="Rubrik1"/>
        <w:spacing w:after="120"/>
      </w:pPr>
      <w:bookmarkStart w:id="13" w:name="_Toc164153907"/>
      <w:r>
        <w:lastRenderedPageBreak/>
        <w:t>Rutin</w:t>
      </w:r>
      <w:bookmarkEnd w:id="13"/>
    </w:p>
    <w:p w14:paraId="06545BFB" w14:textId="77777777" w:rsidR="00A62DAE" w:rsidRPr="009E4C96" w:rsidRDefault="00A62DAE"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normaltextrun"/>
          <w:rFonts w:eastAsiaTheme="majorEastAsia"/>
          <w:sz w:val="22"/>
          <w:szCs w:val="22"/>
        </w:rPr>
        <w:t xml:space="preserve">Förmedling innebär att socialtjänsten betalar en klients räkningar, vanligen hyra och el, med hans/hennes egna pengar. Det gäller vanligtvis pension eller sjukersättning. Genom fullmakt sätts klientens inkomst in på ett </w:t>
      </w:r>
      <w:r w:rsidRPr="009E4C96">
        <w:rPr>
          <w:rStyle w:val="spellingerror"/>
          <w:rFonts w:eastAsiaTheme="majorEastAsia"/>
          <w:sz w:val="22"/>
          <w:szCs w:val="22"/>
        </w:rPr>
        <w:t>förmedlingskonto</w:t>
      </w:r>
      <w:r w:rsidRPr="009E4C96">
        <w:rPr>
          <w:rStyle w:val="normaltextrun"/>
          <w:rFonts w:eastAsiaTheme="majorEastAsia"/>
          <w:sz w:val="22"/>
          <w:szCs w:val="22"/>
        </w:rPr>
        <w:t xml:space="preserve"> hos socialtjänsten som hanterar betalningar enligt överenskommelse med klienten.</w:t>
      </w:r>
      <w:r w:rsidRPr="009E4C96">
        <w:rPr>
          <w:rStyle w:val="eop"/>
          <w:rFonts w:eastAsiaTheme="majorEastAsia"/>
          <w:sz w:val="22"/>
          <w:szCs w:val="22"/>
        </w:rPr>
        <w:t> </w:t>
      </w:r>
    </w:p>
    <w:p w14:paraId="6D5968A6" w14:textId="77777777" w:rsidR="00A62DAE" w:rsidRPr="009E4C96" w:rsidRDefault="00A62DAE"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eop"/>
          <w:rFonts w:eastAsiaTheme="majorEastAsia"/>
          <w:sz w:val="22"/>
          <w:szCs w:val="22"/>
        </w:rPr>
        <w:t> </w:t>
      </w:r>
    </w:p>
    <w:p w14:paraId="12BCC93D" w14:textId="41703158" w:rsidR="00EB3FFE" w:rsidRDefault="00EB3FFE" w:rsidP="005161CF">
      <w:pPr>
        <w:pStyle w:val="paragraph"/>
        <w:spacing w:before="0" w:beforeAutospacing="0" w:after="0" w:afterAutospacing="0" w:line="276" w:lineRule="auto"/>
        <w:textAlignment w:val="baseline"/>
        <w:rPr>
          <w:rStyle w:val="normaltextrun"/>
          <w:rFonts w:eastAsiaTheme="majorEastAsia"/>
          <w:sz w:val="22"/>
          <w:szCs w:val="22"/>
        </w:rPr>
      </w:pPr>
      <w:r>
        <w:rPr>
          <w:rStyle w:val="normaltextrun"/>
          <w:rFonts w:eastAsiaTheme="majorEastAsia"/>
          <w:sz w:val="22"/>
          <w:szCs w:val="22"/>
        </w:rPr>
        <w:t>En ansökan från klient om förmedlingen prövas</w:t>
      </w:r>
      <w:r w:rsidR="006A6BD8">
        <w:rPr>
          <w:rStyle w:val="normaltextrun"/>
          <w:rFonts w:eastAsiaTheme="majorEastAsia"/>
          <w:sz w:val="22"/>
          <w:szCs w:val="22"/>
        </w:rPr>
        <w:t xml:space="preserve"> som en insats </w:t>
      </w:r>
      <w:r>
        <w:rPr>
          <w:rStyle w:val="normaltextrun"/>
          <w:rFonts w:eastAsiaTheme="majorEastAsia"/>
          <w:sz w:val="22"/>
          <w:szCs w:val="22"/>
        </w:rPr>
        <w:t>enligt 11 kap 1§ SoL.</w:t>
      </w:r>
    </w:p>
    <w:p w14:paraId="12D9304B" w14:textId="77777777" w:rsidR="006A6BD8" w:rsidRDefault="006A6BD8" w:rsidP="005161CF">
      <w:pPr>
        <w:pStyle w:val="paragraph"/>
        <w:spacing w:before="0" w:beforeAutospacing="0" w:after="0" w:afterAutospacing="0" w:line="276" w:lineRule="auto"/>
        <w:textAlignment w:val="baseline"/>
        <w:rPr>
          <w:rStyle w:val="normaltextrun"/>
          <w:rFonts w:eastAsiaTheme="majorEastAsia"/>
          <w:sz w:val="22"/>
          <w:szCs w:val="22"/>
        </w:rPr>
      </w:pPr>
    </w:p>
    <w:p w14:paraId="1BBE79FA" w14:textId="0821C6ED" w:rsidR="00A62DAE" w:rsidRPr="009E4C96" w:rsidRDefault="00A62DAE" w:rsidP="005161CF">
      <w:pPr>
        <w:pStyle w:val="paragraph"/>
        <w:spacing w:before="0" w:beforeAutospacing="0" w:after="0" w:afterAutospacing="0" w:line="276" w:lineRule="auto"/>
        <w:textAlignment w:val="baseline"/>
        <w:rPr>
          <w:rFonts w:asciiTheme="minorHAnsi" w:hAnsiTheme="minorHAnsi" w:cstheme="minorHAnsi"/>
          <w:sz w:val="22"/>
          <w:szCs w:val="22"/>
        </w:rPr>
      </w:pPr>
      <w:r w:rsidRPr="009E4C96">
        <w:rPr>
          <w:rStyle w:val="normaltextrun"/>
          <w:rFonts w:eastAsiaTheme="majorEastAsia"/>
          <w:sz w:val="22"/>
          <w:szCs w:val="22"/>
        </w:rPr>
        <w:t>Det huvudsakliga syftet med förmedling är att undvika vräkning och avstängning av el samt vara ett stöd i att personen kommer till rätta</w:t>
      </w:r>
      <w:r w:rsidRPr="009E4C96">
        <w:rPr>
          <w:rStyle w:val="normaltextrun"/>
          <w:rFonts w:eastAsiaTheme="majorEastAsia"/>
          <w:i/>
          <w:iCs/>
          <w:sz w:val="22"/>
          <w:szCs w:val="22"/>
        </w:rPr>
        <w:t xml:space="preserve"> </w:t>
      </w:r>
      <w:r w:rsidRPr="009E4C96">
        <w:rPr>
          <w:rStyle w:val="normaltextrun"/>
          <w:rFonts w:eastAsiaTheme="majorEastAsia"/>
          <w:sz w:val="22"/>
          <w:szCs w:val="22"/>
        </w:rPr>
        <w:t>med sin ekonomi. Förmedling är tänkt som en tillfällig hjälp under en begränsad tid i avvaktan på god man/förvaltare eller att klienten</w:t>
      </w:r>
      <w:r w:rsidRPr="009E4C96">
        <w:rPr>
          <w:rStyle w:val="normaltextrun"/>
          <w:rFonts w:ascii="Segoe UI" w:eastAsiaTheme="majorEastAsia" w:hAnsi="Segoe UI" w:cs="Segoe UI"/>
          <w:sz w:val="22"/>
          <w:szCs w:val="22"/>
        </w:rPr>
        <w:t xml:space="preserve"> </w:t>
      </w:r>
      <w:r w:rsidRPr="009E4C96">
        <w:rPr>
          <w:rStyle w:val="normaltextrun"/>
          <w:rFonts w:asciiTheme="minorHAnsi" w:eastAsiaTheme="majorEastAsia" w:hAnsiTheme="minorHAnsi" w:cstheme="minorHAnsi"/>
          <w:sz w:val="22"/>
          <w:szCs w:val="22"/>
        </w:rPr>
        <w:t>återfår förmågan att hantera sin ekonomi. </w:t>
      </w:r>
      <w:r w:rsidRPr="009E4C96">
        <w:rPr>
          <w:rStyle w:val="eop"/>
          <w:rFonts w:asciiTheme="minorHAnsi" w:eastAsiaTheme="majorEastAsia" w:hAnsiTheme="minorHAnsi" w:cstheme="minorHAnsi"/>
          <w:sz w:val="22"/>
          <w:szCs w:val="22"/>
        </w:rPr>
        <w:t> </w:t>
      </w:r>
    </w:p>
    <w:p w14:paraId="674408EB" w14:textId="5C34902C" w:rsidR="00BD5EAE" w:rsidRDefault="00BD5EAE" w:rsidP="00BD5EAE">
      <w:pPr>
        <w:pStyle w:val="Rubrik2"/>
      </w:pPr>
      <w:bookmarkStart w:id="14" w:name="_Toc164153908"/>
      <w:r>
        <w:rPr>
          <w:rStyle w:val="normaltextrun"/>
          <w:rFonts w:ascii="Arial" w:hAnsi="Arial" w:cs="Arial"/>
          <w:bCs/>
          <w:sz w:val="28"/>
        </w:rPr>
        <w:t>Utredning</w:t>
      </w:r>
      <w:bookmarkEnd w:id="14"/>
      <w:r>
        <w:rPr>
          <w:rStyle w:val="eop"/>
          <w:rFonts w:ascii="Arial" w:hAnsi="Arial" w:cs="Arial"/>
          <w:sz w:val="28"/>
        </w:rPr>
        <w:t> </w:t>
      </w:r>
    </w:p>
    <w:p w14:paraId="38170919" w14:textId="77777777" w:rsidR="00BD5EAE" w:rsidRPr="009E4C96" w:rsidRDefault="00BD5EAE" w:rsidP="005161CF">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Utredning inleds i förmedlingsärende. Utredningen ska innehålla kortfattad och relevant information som ligger till grund för beslut om förmedling.</w:t>
      </w:r>
    </w:p>
    <w:p w14:paraId="66C4C2DF" w14:textId="77777777" w:rsidR="00BD5EAE" w:rsidRPr="009E4C96" w:rsidRDefault="00BD5EAE" w:rsidP="005161CF">
      <w:pPr>
        <w:pStyle w:val="paragraph"/>
        <w:spacing w:before="0" w:beforeAutospacing="0" w:after="0" w:afterAutospacing="0" w:line="276" w:lineRule="auto"/>
        <w:ind w:firstLine="420"/>
        <w:textAlignment w:val="baseline"/>
        <w:rPr>
          <w:rStyle w:val="normaltextrun"/>
          <w:rFonts w:eastAsiaTheme="majorEastAsia"/>
          <w:sz w:val="22"/>
          <w:szCs w:val="22"/>
        </w:rPr>
      </w:pPr>
      <w:r w:rsidRPr="009E4C96">
        <w:rPr>
          <w:rStyle w:val="normaltextrun"/>
          <w:rFonts w:eastAsiaTheme="majorEastAsia"/>
          <w:sz w:val="22"/>
          <w:szCs w:val="22"/>
        </w:rPr>
        <w:t> </w:t>
      </w:r>
    </w:p>
    <w:p w14:paraId="2574C718" w14:textId="11E33727" w:rsidR="00BD5EAE" w:rsidRPr="009E4C96" w:rsidRDefault="00BD5EAE" w:rsidP="005161CF">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 xml:space="preserve">För att se vilka olika inkomster som finns och hur ekonomin har hanterats tidigare behöver klienten lämna in kontoutdrag </w:t>
      </w:r>
      <w:r w:rsidR="00A44BE4">
        <w:rPr>
          <w:rStyle w:val="normaltextrun"/>
          <w:rFonts w:eastAsiaTheme="majorEastAsia"/>
          <w:sz w:val="22"/>
          <w:szCs w:val="22"/>
        </w:rPr>
        <w:t>3</w:t>
      </w:r>
      <w:r w:rsidRPr="009E4C96">
        <w:rPr>
          <w:rStyle w:val="normaltextrun"/>
          <w:rFonts w:eastAsiaTheme="majorEastAsia"/>
          <w:sz w:val="22"/>
          <w:szCs w:val="22"/>
        </w:rPr>
        <w:t xml:space="preserve"> månader tillbaka.  </w:t>
      </w:r>
    </w:p>
    <w:p w14:paraId="0C06B4A5" w14:textId="77777777" w:rsidR="00BD5EAE" w:rsidRPr="009E4C96" w:rsidRDefault="00BD5EAE" w:rsidP="005161CF">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 </w:t>
      </w:r>
    </w:p>
    <w:p w14:paraId="784CD802" w14:textId="77777777" w:rsidR="00BD5EAE" w:rsidRPr="009E4C96" w:rsidRDefault="00BD5EAE" w:rsidP="005161CF">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Utredningen syftar till att ta reda på vad det är som gör att personen behöver förmedling och om det finns möjliga alternativ till förmedling, det vill säga om behovet kan tillgodoses på annat sätt.  </w:t>
      </w:r>
    </w:p>
    <w:p w14:paraId="3707BC2A" w14:textId="77777777" w:rsidR="00BD5EAE" w:rsidRPr="009E4C96" w:rsidRDefault="00BD5EAE" w:rsidP="00BD5EAE">
      <w:pPr>
        <w:pStyle w:val="paragraph"/>
        <w:spacing w:before="0" w:beforeAutospacing="0" w:after="0" w:afterAutospacing="0"/>
        <w:ind w:left="360"/>
        <w:textAlignment w:val="baseline"/>
        <w:rPr>
          <w:rFonts w:ascii="Segoe UI" w:hAnsi="Segoe UI" w:cs="Segoe UI"/>
          <w:sz w:val="22"/>
          <w:szCs w:val="22"/>
        </w:rPr>
      </w:pPr>
    </w:p>
    <w:p w14:paraId="3ECA5F6A" w14:textId="77777777" w:rsidR="00BD5EAE" w:rsidRPr="009E4C96" w:rsidRDefault="00BD5EAE" w:rsidP="005161CF">
      <w:pPr>
        <w:pStyle w:val="paragraph"/>
        <w:numPr>
          <w:ilvl w:val="0"/>
          <w:numId w:val="13"/>
        </w:numPr>
        <w:spacing w:before="0" w:beforeAutospacing="0" w:after="0" w:afterAutospacing="0" w:line="276" w:lineRule="auto"/>
        <w:ind w:left="357" w:hanging="357"/>
        <w:textAlignment w:val="baseline"/>
        <w:rPr>
          <w:sz w:val="22"/>
          <w:szCs w:val="22"/>
        </w:rPr>
      </w:pPr>
      <w:r w:rsidRPr="009E4C96">
        <w:rPr>
          <w:rStyle w:val="normaltextrun"/>
          <w:rFonts w:eastAsiaTheme="majorEastAsia"/>
          <w:sz w:val="22"/>
          <w:szCs w:val="22"/>
        </w:rPr>
        <w:t>Kan personen betala sina räkningar på egen hand, till exempel via autogiro eller två olika konton med automatiska överföringar där räkningskontot saknar uttagskort?</w:t>
      </w:r>
      <w:r w:rsidRPr="009E4C96">
        <w:rPr>
          <w:rStyle w:val="eop"/>
          <w:rFonts w:eastAsiaTheme="majorEastAsia"/>
          <w:sz w:val="22"/>
          <w:szCs w:val="22"/>
        </w:rPr>
        <w:t> </w:t>
      </w:r>
    </w:p>
    <w:p w14:paraId="74BB3C46" w14:textId="77777777" w:rsidR="00BD5EAE" w:rsidRPr="009E4C96" w:rsidRDefault="00BD5EAE" w:rsidP="005161CF">
      <w:pPr>
        <w:pStyle w:val="paragraph"/>
        <w:numPr>
          <w:ilvl w:val="0"/>
          <w:numId w:val="13"/>
        </w:numPr>
        <w:spacing w:before="0" w:beforeAutospacing="0" w:after="0" w:afterAutospacing="0" w:line="276" w:lineRule="auto"/>
        <w:ind w:left="357" w:hanging="357"/>
        <w:textAlignment w:val="baseline"/>
        <w:rPr>
          <w:sz w:val="22"/>
          <w:szCs w:val="22"/>
        </w:rPr>
      </w:pPr>
      <w:r w:rsidRPr="009E4C96">
        <w:rPr>
          <w:rStyle w:val="normaltextrun"/>
          <w:rFonts w:eastAsiaTheme="majorEastAsia"/>
          <w:sz w:val="22"/>
          <w:szCs w:val="22"/>
        </w:rPr>
        <w:t>Kan någon i nätverket hjälpa till att betala räkningarna? </w:t>
      </w:r>
      <w:r w:rsidRPr="009E4C96">
        <w:rPr>
          <w:rStyle w:val="eop"/>
          <w:rFonts w:eastAsiaTheme="majorEastAsia"/>
          <w:sz w:val="22"/>
          <w:szCs w:val="22"/>
        </w:rPr>
        <w:t> </w:t>
      </w:r>
    </w:p>
    <w:p w14:paraId="4E04304E" w14:textId="77777777" w:rsidR="00BD5EAE" w:rsidRPr="009E4C96" w:rsidRDefault="00BD5EAE" w:rsidP="005161CF">
      <w:pPr>
        <w:pStyle w:val="paragraph"/>
        <w:numPr>
          <w:ilvl w:val="0"/>
          <w:numId w:val="13"/>
        </w:numPr>
        <w:spacing w:before="0" w:beforeAutospacing="0" w:after="0" w:afterAutospacing="0" w:line="276" w:lineRule="auto"/>
        <w:ind w:left="357" w:hanging="357"/>
        <w:textAlignment w:val="baseline"/>
        <w:rPr>
          <w:sz w:val="22"/>
          <w:szCs w:val="22"/>
        </w:rPr>
      </w:pPr>
      <w:r w:rsidRPr="009E4C96">
        <w:rPr>
          <w:rStyle w:val="normaltextrun"/>
          <w:rFonts w:eastAsiaTheme="majorEastAsia"/>
          <w:sz w:val="22"/>
          <w:szCs w:val="22"/>
        </w:rPr>
        <w:t>Kan personen få hjälp med sin ekonomi av boendestöd eller hemtjänst?</w:t>
      </w:r>
      <w:r w:rsidRPr="009E4C96">
        <w:rPr>
          <w:rStyle w:val="eop"/>
          <w:rFonts w:eastAsiaTheme="majorEastAsia"/>
          <w:sz w:val="22"/>
          <w:szCs w:val="22"/>
        </w:rPr>
        <w:t> </w:t>
      </w:r>
    </w:p>
    <w:p w14:paraId="11BE0950" w14:textId="77777777" w:rsidR="00BD5EAE" w:rsidRPr="009E4C96" w:rsidRDefault="00BD5EAE" w:rsidP="005161CF">
      <w:pPr>
        <w:pStyle w:val="paragraph"/>
        <w:numPr>
          <w:ilvl w:val="0"/>
          <w:numId w:val="13"/>
        </w:numPr>
        <w:spacing w:before="0" w:beforeAutospacing="0" w:after="0" w:afterAutospacing="0" w:line="276" w:lineRule="auto"/>
        <w:ind w:left="357" w:hanging="357"/>
        <w:textAlignment w:val="baseline"/>
        <w:rPr>
          <w:sz w:val="22"/>
          <w:szCs w:val="22"/>
        </w:rPr>
      </w:pPr>
      <w:r w:rsidRPr="009E4C96">
        <w:rPr>
          <w:rStyle w:val="normaltextrun"/>
          <w:rFonts w:eastAsiaTheme="majorEastAsia"/>
          <w:sz w:val="22"/>
          <w:szCs w:val="22"/>
        </w:rPr>
        <w:t>Kan budget- och skuldrådgivning vara tillräckligt?</w:t>
      </w:r>
      <w:r w:rsidRPr="009E4C96">
        <w:rPr>
          <w:rStyle w:val="eop"/>
          <w:rFonts w:eastAsiaTheme="majorEastAsia"/>
          <w:sz w:val="22"/>
          <w:szCs w:val="22"/>
        </w:rPr>
        <w:t> </w:t>
      </w:r>
    </w:p>
    <w:p w14:paraId="427807E5" w14:textId="77777777" w:rsidR="00BD5EAE" w:rsidRPr="009E4C96" w:rsidRDefault="00BD5EAE" w:rsidP="005161CF">
      <w:pPr>
        <w:pStyle w:val="paragraph"/>
        <w:numPr>
          <w:ilvl w:val="0"/>
          <w:numId w:val="13"/>
        </w:numPr>
        <w:spacing w:before="0" w:beforeAutospacing="0" w:after="0" w:afterAutospacing="0" w:line="276" w:lineRule="auto"/>
        <w:ind w:left="357" w:hanging="357"/>
        <w:textAlignment w:val="baseline"/>
        <w:rPr>
          <w:sz w:val="22"/>
          <w:szCs w:val="22"/>
        </w:rPr>
      </w:pPr>
      <w:r w:rsidRPr="009E4C96">
        <w:rPr>
          <w:rStyle w:val="normaltextrun"/>
          <w:rFonts w:eastAsiaTheme="majorEastAsia"/>
          <w:sz w:val="22"/>
          <w:szCs w:val="22"/>
        </w:rPr>
        <w:t>Är det aktuellt med god man eller förvaltare?</w:t>
      </w:r>
      <w:r w:rsidRPr="009E4C96">
        <w:rPr>
          <w:rStyle w:val="eop"/>
          <w:rFonts w:eastAsiaTheme="majorEastAsia"/>
          <w:sz w:val="22"/>
          <w:szCs w:val="22"/>
        </w:rPr>
        <w:t> </w:t>
      </w:r>
    </w:p>
    <w:p w14:paraId="75C942C7" w14:textId="77777777" w:rsidR="005161CF" w:rsidRPr="009E4C96" w:rsidRDefault="005161CF" w:rsidP="005161CF">
      <w:pPr>
        <w:pStyle w:val="paragraph"/>
        <w:spacing w:before="0" w:beforeAutospacing="0" w:after="0" w:afterAutospacing="0"/>
        <w:textAlignment w:val="baseline"/>
        <w:rPr>
          <w:rStyle w:val="normaltextrun"/>
          <w:rFonts w:eastAsiaTheme="majorEastAsia"/>
          <w:sz w:val="22"/>
          <w:szCs w:val="22"/>
        </w:rPr>
      </w:pPr>
    </w:p>
    <w:p w14:paraId="038C6B31" w14:textId="69A4E3EF" w:rsidR="005161CF" w:rsidRPr="009E4C96" w:rsidRDefault="005161CF" w:rsidP="005161CF">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En del klienter har mer omfattande behov än vad som kan tillgodoses genom förmedling. Både god man och förvaltare har större ansvarsområde och befogenheter än vad förmedling kan erbjuda framför allt när det gäller att sörja för person och bevaka rätt, men även när det gäller att förvalta egendom (sköta ekonomin). Om förmedling ska kunna fungera krävs också att personen har förmåga att lämna in sina räkningar till socialtjänsten i tid. </w:t>
      </w:r>
    </w:p>
    <w:p w14:paraId="3CF8F631" w14:textId="77777777" w:rsidR="005161CF" w:rsidRPr="009E4C96" w:rsidRDefault="005161CF" w:rsidP="005161CF">
      <w:pPr>
        <w:pStyle w:val="paragraph"/>
        <w:spacing w:before="0" w:beforeAutospacing="0" w:after="0" w:afterAutospacing="0" w:line="276" w:lineRule="auto"/>
        <w:ind w:left="420"/>
        <w:textAlignment w:val="baseline"/>
        <w:rPr>
          <w:rStyle w:val="normaltextrun"/>
          <w:rFonts w:eastAsiaTheme="majorEastAsia"/>
          <w:sz w:val="22"/>
          <w:szCs w:val="22"/>
        </w:rPr>
      </w:pPr>
      <w:r w:rsidRPr="009E4C96">
        <w:rPr>
          <w:rStyle w:val="normaltextrun"/>
          <w:rFonts w:eastAsiaTheme="majorEastAsia"/>
          <w:sz w:val="22"/>
          <w:szCs w:val="22"/>
        </w:rPr>
        <w:t> </w:t>
      </w:r>
    </w:p>
    <w:p w14:paraId="360982E7" w14:textId="77777777"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Om inkomsten klienten har är sjukpenning, a-kassa eller lön kan det vara svårt för oss att få in pengarna i tid för att betala räkningar, därför rekommenderas inte förmedling på dessa inkomster. Vissa ersättningar är det inte möjligt att ha förmedling på, detta måste kontrolleras med utbetalaren.</w:t>
      </w:r>
    </w:p>
    <w:p w14:paraId="34B65C7C" w14:textId="77777777" w:rsidR="005161CF" w:rsidRDefault="005161CF" w:rsidP="005161CF">
      <w:pPr>
        <w:pStyle w:val="Rubrik2"/>
        <w:rPr>
          <w:rFonts w:ascii="Segoe UI" w:hAnsi="Segoe UI" w:cs="Segoe UI"/>
          <w:sz w:val="18"/>
          <w:szCs w:val="18"/>
        </w:rPr>
      </w:pPr>
      <w:bookmarkStart w:id="15" w:name="_Toc164153909"/>
      <w:r>
        <w:rPr>
          <w:rStyle w:val="normaltextrun"/>
          <w:rFonts w:ascii="Arial" w:hAnsi="Arial" w:cs="Arial"/>
          <w:bCs/>
          <w:sz w:val="28"/>
        </w:rPr>
        <w:lastRenderedPageBreak/>
        <w:t>Beslut</w:t>
      </w:r>
      <w:bookmarkEnd w:id="15"/>
      <w:r>
        <w:rPr>
          <w:rStyle w:val="eop"/>
          <w:rFonts w:ascii="Arial" w:hAnsi="Arial" w:cs="Arial"/>
          <w:sz w:val="28"/>
        </w:rPr>
        <w:t> </w:t>
      </w:r>
    </w:p>
    <w:p w14:paraId="5306DCE8" w14:textId="77777777"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Förmedling beviljas mycket restriktivt och kan bli aktuellt först när övriga möjligheter är helt uttömda. Om förmedling ska beviljas bör det i första hand göras i avvaktan på god man eller förvaltare. Det kan dock finnas situationer där god man eller förvaltare inte är aktuellt och andra lösningar inte bedöms tillräckliga, där förmedling kan beviljas. Se även rutin och handbok för vräkningsförebyggande arbete. </w:t>
      </w:r>
    </w:p>
    <w:p w14:paraId="4955A4A5" w14:textId="77777777" w:rsidR="005161CF" w:rsidRPr="009E4C96" w:rsidRDefault="005161CF" w:rsidP="008673A1">
      <w:pPr>
        <w:pStyle w:val="paragraph"/>
        <w:spacing w:before="0" w:beforeAutospacing="0" w:after="0" w:afterAutospacing="0" w:line="276" w:lineRule="auto"/>
        <w:ind w:left="420"/>
        <w:textAlignment w:val="baseline"/>
        <w:rPr>
          <w:rStyle w:val="normaltextrun"/>
          <w:rFonts w:eastAsiaTheme="majorEastAsia"/>
          <w:sz w:val="22"/>
          <w:szCs w:val="22"/>
        </w:rPr>
      </w:pPr>
      <w:r w:rsidRPr="009E4C96">
        <w:rPr>
          <w:rStyle w:val="normaltextrun"/>
          <w:rFonts w:eastAsiaTheme="majorEastAsia"/>
          <w:sz w:val="22"/>
          <w:szCs w:val="22"/>
        </w:rPr>
        <w:t> </w:t>
      </w:r>
    </w:p>
    <w:p w14:paraId="759A2B26" w14:textId="1DF5721D"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 xml:space="preserve">Beslut om förmedling bör alltid tidsbegränsas till 6 månader. Om beslutet har fattats i avvaktan på god man eller förvaltare ska detta framgå av beslutet. Var sjätte månad ska en omprövning göras om </w:t>
      </w:r>
      <w:r w:rsidR="006A6BD8">
        <w:rPr>
          <w:rStyle w:val="normaltextrun"/>
          <w:rFonts w:eastAsiaTheme="majorEastAsia"/>
          <w:sz w:val="22"/>
          <w:szCs w:val="22"/>
        </w:rPr>
        <w:t>insatsen</w:t>
      </w:r>
      <w:r w:rsidRPr="009E4C96">
        <w:rPr>
          <w:rStyle w:val="normaltextrun"/>
          <w:rFonts w:eastAsiaTheme="majorEastAsia"/>
          <w:sz w:val="22"/>
          <w:szCs w:val="22"/>
        </w:rPr>
        <w:t xml:space="preserve"> ska fortsätta.  </w:t>
      </w:r>
    </w:p>
    <w:p w14:paraId="36764F82" w14:textId="77777777" w:rsidR="005161CF" w:rsidRPr="009E4C96" w:rsidRDefault="005161CF" w:rsidP="008673A1">
      <w:pPr>
        <w:pStyle w:val="paragraph"/>
        <w:spacing w:before="0" w:beforeAutospacing="0" w:after="0" w:afterAutospacing="0" w:line="276" w:lineRule="auto"/>
        <w:ind w:left="420"/>
        <w:textAlignment w:val="baseline"/>
        <w:rPr>
          <w:rStyle w:val="normaltextrun"/>
          <w:rFonts w:eastAsiaTheme="majorEastAsia"/>
          <w:sz w:val="22"/>
          <w:szCs w:val="22"/>
        </w:rPr>
      </w:pPr>
      <w:r w:rsidRPr="009E4C96">
        <w:rPr>
          <w:rStyle w:val="normaltextrun"/>
          <w:rFonts w:eastAsiaTheme="majorEastAsia"/>
          <w:sz w:val="22"/>
          <w:szCs w:val="22"/>
        </w:rPr>
        <w:t> </w:t>
      </w:r>
    </w:p>
    <w:p w14:paraId="73D50E0F" w14:textId="77777777"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Om rätt till förmedling inte bedöms föreligga, det vill säga om behovet kan tillgodoses på annat sätt, fattas ett avslagsbeslut. </w:t>
      </w:r>
    </w:p>
    <w:p w14:paraId="4F893B80" w14:textId="77777777" w:rsidR="005161CF" w:rsidRPr="009E4C96" w:rsidRDefault="005161CF" w:rsidP="008673A1">
      <w:pPr>
        <w:pStyle w:val="paragraph"/>
        <w:spacing w:before="0" w:beforeAutospacing="0" w:after="0" w:afterAutospacing="0" w:line="276" w:lineRule="auto"/>
        <w:ind w:left="420"/>
        <w:textAlignment w:val="baseline"/>
        <w:rPr>
          <w:rStyle w:val="normaltextrun"/>
          <w:rFonts w:eastAsiaTheme="majorEastAsia"/>
          <w:sz w:val="22"/>
          <w:szCs w:val="22"/>
        </w:rPr>
      </w:pPr>
      <w:r w:rsidRPr="009E4C96">
        <w:rPr>
          <w:rStyle w:val="normaltextrun"/>
          <w:rFonts w:eastAsiaTheme="majorEastAsia"/>
          <w:sz w:val="22"/>
          <w:szCs w:val="22"/>
        </w:rPr>
        <w:t> </w:t>
      </w:r>
    </w:p>
    <w:p w14:paraId="5EBC869F" w14:textId="0D8F9C78"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 xml:space="preserve">Lagstöd: </w:t>
      </w:r>
      <w:r w:rsidR="006A6BD8" w:rsidRPr="006A6BD8">
        <w:rPr>
          <w:rStyle w:val="normaltextrun"/>
          <w:rFonts w:eastAsiaTheme="majorEastAsia"/>
          <w:sz w:val="22"/>
          <w:szCs w:val="22"/>
        </w:rPr>
        <w:t>11</w:t>
      </w:r>
      <w:r w:rsidRPr="006A6BD8">
        <w:rPr>
          <w:rStyle w:val="normaltextrun"/>
          <w:rFonts w:eastAsiaTheme="majorEastAsia"/>
          <w:sz w:val="22"/>
          <w:szCs w:val="22"/>
        </w:rPr>
        <w:t xml:space="preserve"> kap 1 § socialtjänstlagen.</w:t>
      </w:r>
      <w:r w:rsidRPr="009E4C96">
        <w:rPr>
          <w:rStyle w:val="normaltextrun"/>
          <w:rFonts w:eastAsiaTheme="majorEastAsia"/>
          <w:sz w:val="22"/>
          <w:szCs w:val="22"/>
        </w:rPr>
        <w:t> </w:t>
      </w:r>
    </w:p>
    <w:p w14:paraId="01857BE6" w14:textId="77777777" w:rsidR="005161CF" w:rsidRPr="009E4C96" w:rsidRDefault="005161CF" w:rsidP="008673A1">
      <w:pPr>
        <w:pStyle w:val="paragraph"/>
        <w:spacing w:before="0" w:beforeAutospacing="0" w:after="0" w:afterAutospacing="0" w:line="276" w:lineRule="auto"/>
        <w:ind w:left="420"/>
        <w:textAlignment w:val="baseline"/>
        <w:rPr>
          <w:rStyle w:val="normaltextrun"/>
          <w:rFonts w:eastAsiaTheme="majorEastAsia"/>
          <w:sz w:val="22"/>
          <w:szCs w:val="22"/>
        </w:rPr>
      </w:pPr>
      <w:r w:rsidRPr="009E4C96">
        <w:rPr>
          <w:rStyle w:val="normaltextrun"/>
          <w:rFonts w:eastAsiaTheme="majorEastAsia"/>
          <w:sz w:val="22"/>
          <w:szCs w:val="22"/>
        </w:rPr>
        <w:t> </w:t>
      </w:r>
    </w:p>
    <w:p w14:paraId="78EEDCE0" w14:textId="77777777" w:rsidR="005161CF" w:rsidRPr="009E4C96" w:rsidRDefault="005161CF" w:rsidP="008673A1">
      <w:pPr>
        <w:pStyle w:val="paragraph"/>
        <w:spacing w:before="0" w:beforeAutospacing="0" w:after="0" w:afterAutospacing="0" w:line="276" w:lineRule="auto"/>
        <w:textAlignment w:val="baseline"/>
        <w:rPr>
          <w:rStyle w:val="normaltextrun"/>
          <w:rFonts w:eastAsiaTheme="majorEastAsia"/>
          <w:sz w:val="22"/>
          <w:szCs w:val="22"/>
        </w:rPr>
      </w:pPr>
      <w:r w:rsidRPr="009E4C96">
        <w:rPr>
          <w:rStyle w:val="normaltextrun"/>
          <w:rFonts w:eastAsiaTheme="majorEastAsia"/>
          <w:sz w:val="22"/>
          <w:szCs w:val="22"/>
        </w:rPr>
        <w:t>Delegationsnivå: Se respektive socialförvaltnings delegationsordning. </w:t>
      </w:r>
    </w:p>
    <w:p w14:paraId="61283679" w14:textId="77777777" w:rsidR="005161CF" w:rsidRDefault="005161CF" w:rsidP="005161CF">
      <w:pPr>
        <w:pStyle w:val="Rubrik2"/>
        <w:rPr>
          <w:rFonts w:ascii="Segoe UI" w:hAnsi="Segoe UI" w:cs="Segoe UI"/>
          <w:sz w:val="18"/>
          <w:szCs w:val="18"/>
        </w:rPr>
      </w:pPr>
      <w:bookmarkStart w:id="16" w:name="_Toc164153910"/>
      <w:r>
        <w:rPr>
          <w:rStyle w:val="normaltextrun"/>
          <w:rFonts w:ascii="Arial" w:hAnsi="Arial" w:cs="Arial"/>
          <w:bCs/>
          <w:sz w:val="28"/>
        </w:rPr>
        <w:t>Fullmakt</w:t>
      </w:r>
      <w:bookmarkEnd w:id="16"/>
      <w:r>
        <w:rPr>
          <w:rStyle w:val="eop"/>
          <w:rFonts w:ascii="Arial" w:hAnsi="Arial" w:cs="Arial"/>
          <w:sz w:val="28"/>
        </w:rPr>
        <w:t> </w:t>
      </w:r>
    </w:p>
    <w:p w14:paraId="5EBE997F" w14:textId="77777777" w:rsidR="005161CF" w:rsidRPr="009E4C96" w:rsidRDefault="005161CF"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normaltextrun"/>
          <w:rFonts w:eastAsiaTheme="majorEastAsia"/>
          <w:sz w:val="22"/>
          <w:szCs w:val="22"/>
        </w:rPr>
        <w:t xml:space="preserve">Klienten skriver under en fullmakt så att löpande inkomst kan betalas till socialtjänsten. Fullmakten sänds till den som betalar ut inkomsten, vanligen Försäkringskassan. För att undvika glapp mellan två fullmakter eller i väntan på god man/förvaltare bör fullmakten gälla </w:t>
      </w:r>
      <w:r w:rsidRPr="009E4C96">
        <w:rPr>
          <w:rStyle w:val="normaltextrun"/>
          <w:rFonts w:eastAsiaTheme="majorEastAsia"/>
          <w:i/>
          <w:iCs/>
          <w:sz w:val="22"/>
          <w:szCs w:val="22"/>
        </w:rPr>
        <w:t>tills vidare</w:t>
      </w:r>
      <w:r w:rsidRPr="009E4C96">
        <w:rPr>
          <w:rStyle w:val="normaltextrun"/>
          <w:rFonts w:eastAsiaTheme="majorEastAsia"/>
          <w:sz w:val="22"/>
          <w:szCs w:val="22"/>
        </w:rPr>
        <w:t>. En fullmakt kan när som helst sägas upp av den som lämnat fullmakten.</w:t>
      </w:r>
      <w:r w:rsidRPr="009E4C96">
        <w:rPr>
          <w:rStyle w:val="eop"/>
          <w:rFonts w:eastAsiaTheme="majorEastAsia"/>
          <w:sz w:val="22"/>
          <w:szCs w:val="22"/>
        </w:rPr>
        <w:t> </w:t>
      </w:r>
    </w:p>
    <w:p w14:paraId="7321427B" w14:textId="77777777" w:rsidR="005161CF" w:rsidRDefault="005161CF" w:rsidP="005161CF">
      <w:pPr>
        <w:pStyle w:val="Rubrik2"/>
        <w:rPr>
          <w:rFonts w:ascii="Segoe UI" w:hAnsi="Segoe UI" w:cs="Segoe UI"/>
          <w:sz w:val="18"/>
          <w:szCs w:val="18"/>
        </w:rPr>
      </w:pPr>
      <w:bookmarkStart w:id="17" w:name="_Toc164153911"/>
      <w:r>
        <w:rPr>
          <w:rStyle w:val="normaltextrun"/>
          <w:rFonts w:ascii="Arial" w:hAnsi="Arial" w:cs="Arial"/>
          <w:bCs/>
          <w:sz w:val="28"/>
        </w:rPr>
        <w:t>Betalningsplan</w:t>
      </w:r>
      <w:bookmarkEnd w:id="17"/>
      <w:r>
        <w:rPr>
          <w:rStyle w:val="normaltextrun"/>
          <w:rFonts w:ascii="Arial" w:hAnsi="Arial" w:cs="Arial"/>
          <w:bCs/>
          <w:sz w:val="28"/>
        </w:rPr>
        <w:t> </w:t>
      </w:r>
      <w:r>
        <w:rPr>
          <w:rStyle w:val="eop"/>
          <w:rFonts w:ascii="Arial" w:hAnsi="Arial" w:cs="Arial"/>
          <w:sz w:val="28"/>
        </w:rPr>
        <w:t> </w:t>
      </w:r>
    </w:p>
    <w:p w14:paraId="5E005BC6" w14:textId="77777777" w:rsidR="005161CF" w:rsidRPr="009E4C96" w:rsidRDefault="005161CF"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normaltextrun"/>
          <w:rFonts w:eastAsiaTheme="majorEastAsia"/>
          <w:sz w:val="22"/>
          <w:szCs w:val="22"/>
        </w:rPr>
        <w:t>Klienten har full dispositionsrätt över sina inkomster, det är därför viktigt att det upprättas en betalningsplan. Betalningsplanen är en överenskommelse om vilka räkningar som socialtjänsten ska betala och att klienten ska lämna in dessa varje månad. Betalningsplanen ska också innehålla information om hur ofta och med vilka belopp som resterande pengar ska betalas ut till klientens bankkonto. </w:t>
      </w:r>
      <w:r w:rsidRPr="009E4C96">
        <w:rPr>
          <w:rStyle w:val="eop"/>
          <w:rFonts w:eastAsiaTheme="majorEastAsia"/>
          <w:sz w:val="22"/>
          <w:szCs w:val="22"/>
        </w:rPr>
        <w:t> </w:t>
      </w:r>
    </w:p>
    <w:p w14:paraId="4ECD94C5" w14:textId="77777777" w:rsidR="005161CF" w:rsidRPr="009E4C96" w:rsidRDefault="005161CF" w:rsidP="005161CF">
      <w:pPr>
        <w:pStyle w:val="paragraph"/>
        <w:spacing w:before="0" w:beforeAutospacing="0" w:after="0" w:afterAutospacing="0" w:line="276" w:lineRule="auto"/>
        <w:ind w:left="420"/>
        <w:textAlignment w:val="baseline"/>
        <w:rPr>
          <w:rFonts w:ascii="Segoe UI" w:hAnsi="Segoe UI" w:cs="Segoe UI"/>
          <w:sz w:val="22"/>
          <w:szCs w:val="22"/>
        </w:rPr>
      </w:pPr>
      <w:r w:rsidRPr="009E4C96">
        <w:rPr>
          <w:rStyle w:val="eop"/>
          <w:rFonts w:eastAsiaTheme="majorEastAsia"/>
          <w:sz w:val="22"/>
          <w:szCs w:val="22"/>
        </w:rPr>
        <w:t> </w:t>
      </w:r>
    </w:p>
    <w:p w14:paraId="540ECC8C" w14:textId="7B431E9B" w:rsidR="005161CF" w:rsidRDefault="005161CF" w:rsidP="006769BC">
      <w:pPr>
        <w:pStyle w:val="paragraph"/>
        <w:spacing w:before="0" w:beforeAutospacing="0" w:after="0" w:afterAutospacing="0" w:line="276" w:lineRule="auto"/>
        <w:textAlignment w:val="baseline"/>
        <w:rPr>
          <w:rFonts w:ascii="Segoe UI" w:hAnsi="Segoe UI" w:cs="Segoe UI"/>
          <w:sz w:val="18"/>
          <w:szCs w:val="18"/>
        </w:rPr>
      </w:pPr>
      <w:r w:rsidRPr="009E4C96">
        <w:rPr>
          <w:rStyle w:val="normaltextrun"/>
          <w:rFonts w:eastAsiaTheme="majorEastAsia"/>
          <w:sz w:val="22"/>
          <w:szCs w:val="22"/>
        </w:rPr>
        <w:t>Förmedlingskontot ska inte vara ett sparande för klienten. Ibland kan det vara befogat med en viss buffert för till exempel oväntade sjukvårdsutgifter, men det ska i så fall vara överenskommet med klienten genom betalplanen. Om det blir för stora belopp på förmedlingskontot behöver det göras en plan för hur dessa ska betalas ut.</w:t>
      </w:r>
      <w:r w:rsidRPr="009E4C96">
        <w:rPr>
          <w:rStyle w:val="eop"/>
          <w:rFonts w:eastAsiaTheme="majorEastAsia"/>
          <w:sz w:val="22"/>
          <w:szCs w:val="22"/>
        </w:rPr>
        <w:t> </w:t>
      </w:r>
    </w:p>
    <w:p w14:paraId="56CA0B72" w14:textId="77777777" w:rsidR="005161CF" w:rsidRDefault="005161CF" w:rsidP="005161CF">
      <w:pPr>
        <w:pStyle w:val="Rubrik2"/>
        <w:rPr>
          <w:rFonts w:ascii="Segoe UI" w:hAnsi="Segoe UI" w:cs="Segoe UI"/>
          <w:sz w:val="18"/>
          <w:szCs w:val="18"/>
        </w:rPr>
      </w:pPr>
      <w:bookmarkStart w:id="18" w:name="_Toc164153912"/>
      <w:r>
        <w:rPr>
          <w:rStyle w:val="normaltextrun"/>
          <w:rFonts w:ascii="Arial" w:hAnsi="Arial" w:cs="Arial"/>
          <w:bCs/>
          <w:sz w:val="28"/>
        </w:rPr>
        <w:t>Arbetsplan</w:t>
      </w:r>
      <w:bookmarkEnd w:id="18"/>
      <w:r>
        <w:rPr>
          <w:rStyle w:val="eop"/>
          <w:rFonts w:ascii="Arial" w:hAnsi="Arial" w:cs="Arial"/>
          <w:sz w:val="28"/>
        </w:rPr>
        <w:t> </w:t>
      </w:r>
    </w:p>
    <w:p w14:paraId="20260688" w14:textId="1995BAF3" w:rsidR="005161CF" w:rsidRPr="009E4C96" w:rsidRDefault="005161CF"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normaltextrun"/>
          <w:rFonts w:eastAsiaTheme="majorEastAsia"/>
          <w:sz w:val="22"/>
          <w:szCs w:val="22"/>
        </w:rPr>
        <w:t xml:space="preserve">Målet är att </w:t>
      </w:r>
      <w:r w:rsidR="006A6BD8">
        <w:rPr>
          <w:rStyle w:val="normaltextrun"/>
          <w:rFonts w:eastAsiaTheme="majorEastAsia"/>
          <w:sz w:val="22"/>
          <w:szCs w:val="22"/>
        </w:rPr>
        <w:t>insatsen</w:t>
      </w:r>
      <w:r w:rsidRPr="009E4C96">
        <w:rPr>
          <w:rStyle w:val="normaltextrun"/>
          <w:rFonts w:eastAsiaTheme="majorEastAsia"/>
          <w:sz w:val="22"/>
          <w:szCs w:val="22"/>
        </w:rPr>
        <w:t xml:space="preserve"> i form av förmedling ska kunna avslutas. Det ska därför upprättas en arbetsplan med klienten för hur detta mål ska kunna nås. Arbetsplanen upprättas av den som utrett ansökan om förmedling. Arbetsplanen följs upp regelbundet i samband med att beslutet om förmedling omprövas. </w:t>
      </w:r>
      <w:r w:rsidRPr="009E4C96">
        <w:rPr>
          <w:rStyle w:val="eop"/>
          <w:rFonts w:eastAsiaTheme="majorEastAsia"/>
          <w:sz w:val="22"/>
          <w:szCs w:val="22"/>
        </w:rPr>
        <w:t> </w:t>
      </w:r>
    </w:p>
    <w:p w14:paraId="2CD0761E" w14:textId="77777777" w:rsidR="005161CF" w:rsidRPr="009E4C96" w:rsidRDefault="005161CF" w:rsidP="005161CF">
      <w:pPr>
        <w:pStyle w:val="paragraph"/>
        <w:spacing w:before="0" w:beforeAutospacing="0" w:after="0" w:afterAutospacing="0" w:line="276" w:lineRule="auto"/>
        <w:textAlignment w:val="baseline"/>
        <w:rPr>
          <w:rStyle w:val="scxw20521856"/>
          <w:rFonts w:eastAsiaTheme="majorEastAsia"/>
          <w:sz w:val="22"/>
          <w:szCs w:val="22"/>
        </w:rPr>
      </w:pPr>
    </w:p>
    <w:p w14:paraId="2D1F9F7C" w14:textId="6A6CEAF0" w:rsidR="005161CF" w:rsidRPr="009E4C96" w:rsidRDefault="005161CF" w:rsidP="005161CF">
      <w:pPr>
        <w:pStyle w:val="paragraph"/>
        <w:spacing w:before="0" w:beforeAutospacing="0" w:after="0" w:afterAutospacing="0" w:line="276" w:lineRule="auto"/>
        <w:textAlignment w:val="baseline"/>
        <w:rPr>
          <w:rFonts w:ascii="Segoe UI" w:hAnsi="Segoe UI" w:cs="Segoe UI"/>
          <w:sz w:val="22"/>
          <w:szCs w:val="22"/>
        </w:rPr>
      </w:pPr>
      <w:r w:rsidRPr="009E4C96">
        <w:rPr>
          <w:rStyle w:val="normaltextrun"/>
          <w:rFonts w:eastAsiaTheme="majorEastAsia"/>
          <w:sz w:val="22"/>
          <w:szCs w:val="22"/>
        </w:rPr>
        <w:t>Se även bilaga för informationsbrev till klient inför avslut/omprövning av förmedling.</w:t>
      </w:r>
      <w:r w:rsidRPr="009E4C96">
        <w:rPr>
          <w:rStyle w:val="eop"/>
          <w:rFonts w:eastAsiaTheme="majorEastAsia"/>
          <w:sz w:val="22"/>
          <w:szCs w:val="22"/>
        </w:rPr>
        <w:t>  </w:t>
      </w:r>
    </w:p>
    <w:p w14:paraId="31362CA4" w14:textId="77777777" w:rsidR="005161CF" w:rsidRDefault="005161CF" w:rsidP="005161CF">
      <w:pPr>
        <w:pStyle w:val="Rubrik2"/>
        <w:rPr>
          <w:rFonts w:ascii="Segoe UI" w:hAnsi="Segoe UI" w:cs="Segoe UI"/>
          <w:sz w:val="18"/>
          <w:szCs w:val="18"/>
        </w:rPr>
      </w:pPr>
      <w:bookmarkStart w:id="19" w:name="_Toc164153913"/>
      <w:r>
        <w:rPr>
          <w:rStyle w:val="normaltextrun"/>
          <w:rFonts w:ascii="Arial" w:hAnsi="Arial" w:cs="Arial"/>
          <w:bCs/>
          <w:sz w:val="28"/>
        </w:rPr>
        <w:lastRenderedPageBreak/>
        <w:t>Redovisning</w:t>
      </w:r>
      <w:bookmarkEnd w:id="19"/>
      <w:r>
        <w:rPr>
          <w:rStyle w:val="eop"/>
          <w:rFonts w:ascii="Arial" w:hAnsi="Arial" w:cs="Arial"/>
          <w:sz w:val="28"/>
        </w:rPr>
        <w:t> </w:t>
      </w:r>
    </w:p>
    <w:p w14:paraId="34285138" w14:textId="4674AF38" w:rsidR="005161CF" w:rsidRPr="005161CF" w:rsidRDefault="005161CF" w:rsidP="00A44BE4">
      <w:pPr>
        <w:pStyle w:val="paragraph"/>
        <w:spacing w:before="0" w:beforeAutospacing="0" w:after="0" w:afterAutospacing="0" w:line="276" w:lineRule="auto"/>
        <w:textAlignment w:val="baseline"/>
        <w:rPr>
          <w:rStyle w:val="normaltextrun"/>
          <w:rFonts w:eastAsiaTheme="majorEastAsia"/>
        </w:rPr>
      </w:pPr>
      <w:r w:rsidRPr="009E4C96">
        <w:rPr>
          <w:rStyle w:val="normaltextrun"/>
          <w:rFonts w:eastAsiaTheme="majorEastAsia"/>
          <w:sz w:val="22"/>
          <w:szCs w:val="22"/>
        </w:rPr>
        <w:t>Det föreligger en redovisningsskyldighet för förmedlingskonton vilket innebär att</w:t>
      </w:r>
      <w:r w:rsidRPr="009E4C96">
        <w:rPr>
          <w:rStyle w:val="eop"/>
          <w:rFonts w:eastAsiaTheme="majorEastAsia"/>
          <w:sz w:val="22"/>
          <w:szCs w:val="22"/>
        </w:rPr>
        <w:t> </w:t>
      </w:r>
      <w:r w:rsidRPr="009E4C96">
        <w:rPr>
          <w:rStyle w:val="normaltextrun"/>
          <w:rFonts w:eastAsiaTheme="majorEastAsia"/>
          <w:sz w:val="22"/>
          <w:szCs w:val="22"/>
        </w:rPr>
        <w:t xml:space="preserve">inkomster och utgifter ska redovisas till den enskilde. </w:t>
      </w:r>
    </w:p>
    <w:sectPr w:rsidR="005161CF" w:rsidRPr="005161CF" w:rsidSect="0004764B">
      <w:headerReference w:type="default" r:id="rId17"/>
      <w:footerReference w:type="default" r:id="rId18"/>
      <w:footerReference w:type="first" r:id="rId19"/>
      <w:pgSz w:w="11906" w:h="16838" w:code="9"/>
      <w:pgMar w:top="1418" w:right="2552" w:bottom="1418" w:left="1418" w:header="737" w:footer="66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1553" w14:textId="77777777" w:rsidR="00626B1C" w:rsidRDefault="00626B1C" w:rsidP="00BF282B">
      <w:pPr>
        <w:spacing w:after="0" w:line="240" w:lineRule="auto"/>
      </w:pPr>
      <w:r>
        <w:separator/>
      </w:r>
    </w:p>
  </w:endnote>
  <w:endnote w:type="continuationSeparator" w:id="0">
    <w:p w14:paraId="6C672D66" w14:textId="77777777" w:rsidR="00626B1C" w:rsidRDefault="00626B1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7111AE20" w:rsidR="001F7CDB" w:rsidRPr="001F7CDB" w:rsidRDefault="005D0AED"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9E4C96">
                <w:rPr>
                  <w:rFonts w:asciiTheme="majorHAnsi" w:hAnsiTheme="majorHAnsi" w:cstheme="majorHAnsi"/>
                  <w:sz w:val="18"/>
                  <w:szCs w:val="18"/>
                </w:rPr>
                <w:t>Göteborgs Stads rutin för förmedlingsärende</w:t>
              </w:r>
            </w:sdtContent>
          </w:sdt>
        </w:p>
      </w:tc>
      <w:tc>
        <w:tcPr>
          <w:tcW w:w="1842" w:type="dxa"/>
        </w:tcPr>
        <w:p w14:paraId="01368EA6" w14:textId="571E8169"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sidR="00A44BE4">
            <w:rPr>
              <w:rFonts w:asciiTheme="majorHAnsi" w:hAnsiTheme="majorHAnsi" w:cstheme="majorHAnsi"/>
              <w:sz w:val="18"/>
              <w:szCs w:val="18"/>
            </w:rPr>
            <w:t>6)</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A963" w14:textId="77777777" w:rsidR="00626B1C" w:rsidRDefault="00626B1C" w:rsidP="00BF282B">
      <w:pPr>
        <w:spacing w:after="0" w:line="240" w:lineRule="auto"/>
      </w:pPr>
      <w:r>
        <w:separator/>
      </w:r>
    </w:p>
  </w:footnote>
  <w:footnote w:type="continuationSeparator" w:id="0">
    <w:p w14:paraId="1A0E4A9C" w14:textId="77777777" w:rsidR="00626B1C" w:rsidRDefault="00626B1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0013" w14:textId="7CDF508F" w:rsidR="00930E55" w:rsidRDefault="00930E5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D2602"/>
    <w:multiLevelType w:val="hybridMultilevel"/>
    <w:tmpl w:val="89CCEE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80422825">
    <w:abstractNumId w:val="11"/>
  </w:num>
  <w:num w:numId="2" w16cid:durableId="332490674">
    <w:abstractNumId w:val="12"/>
  </w:num>
  <w:num w:numId="3" w16cid:durableId="276526491">
    <w:abstractNumId w:val="8"/>
  </w:num>
  <w:num w:numId="4" w16cid:durableId="753161546">
    <w:abstractNumId w:val="3"/>
  </w:num>
  <w:num w:numId="5" w16cid:durableId="1084693121">
    <w:abstractNumId w:val="2"/>
  </w:num>
  <w:num w:numId="6" w16cid:durableId="1389649309">
    <w:abstractNumId w:val="1"/>
  </w:num>
  <w:num w:numId="7" w16cid:durableId="635527070">
    <w:abstractNumId w:val="0"/>
  </w:num>
  <w:num w:numId="8" w16cid:durableId="256329011">
    <w:abstractNumId w:val="9"/>
  </w:num>
  <w:num w:numId="9" w16cid:durableId="763500910">
    <w:abstractNumId w:val="7"/>
  </w:num>
  <w:num w:numId="10" w16cid:durableId="1390350135">
    <w:abstractNumId w:val="6"/>
  </w:num>
  <w:num w:numId="11" w16cid:durableId="94062277">
    <w:abstractNumId w:val="5"/>
  </w:num>
  <w:num w:numId="12" w16cid:durableId="1526096690">
    <w:abstractNumId w:val="4"/>
  </w:num>
  <w:num w:numId="13" w16cid:durableId="16711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04CC"/>
    <w:rsid w:val="00002480"/>
    <w:rsid w:val="0000577F"/>
    <w:rsid w:val="00031F7D"/>
    <w:rsid w:val="00042A9B"/>
    <w:rsid w:val="0004764B"/>
    <w:rsid w:val="000845A5"/>
    <w:rsid w:val="000A3F75"/>
    <w:rsid w:val="000C68BA"/>
    <w:rsid w:val="000C7B11"/>
    <w:rsid w:val="000F057E"/>
    <w:rsid w:val="000F2B85"/>
    <w:rsid w:val="000F4292"/>
    <w:rsid w:val="00101B7A"/>
    <w:rsid w:val="00105F42"/>
    <w:rsid w:val="0011061F"/>
    <w:rsid w:val="0011381D"/>
    <w:rsid w:val="00114757"/>
    <w:rsid w:val="00142FEF"/>
    <w:rsid w:val="00151CA1"/>
    <w:rsid w:val="00164CEA"/>
    <w:rsid w:val="00173F0C"/>
    <w:rsid w:val="00180E61"/>
    <w:rsid w:val="0019088B"/>
    <w:rsid w:val="001A4E5D"/>
    <w:rsid w:val="001C2218"/>
    <w:rsid w:val="001C34F3"/>
    <w:rsid w:val="001C5B53"/>
    <w:rsid w:val="001E120D"/>
    <w:rsid w:val="001E3482"/>
    <w:rsid w:val="001F7CDB"/>
    <w:rsid w:val="00223F1E"/>
    <w:rsid w:val="002401B9"/>
    <w:rsid w:val="00241F59"/>
    <w:rsid w:val="00257F49"/>
    <w:rsid w:val="00277238"/>
    <w:rsid w:val="002F4846"/>
    <w:rsid w:val="002F7B11"/>
    <w:rsid w:val="00301CB4"/>
    <w:rsid w:val="003164EC"/>
    <w:rsid w:val="00350FEF"/>
    <w:rsid w:val="0036595F"/>
    <w:rsid w:val="00372CB4"/>
    <w:rsid w:val="0039437C"/>
    <w:rsid w:val="003A6BFE"/>
    <w:rsid w:val="003D0609"/>
    <w:rsid w:val="003D123B"/>
    <w:rsid w:val="003F1F52"/>
    <w:rsid w:val="003F4BBF"/>
    <w:rsid w:val="003F5215"/>
    <w:rsid w:val="00403399"/>
    <w:rsid w:val="00414E79"/>
    <w:rsid w:val="004207D1"/>
    <w:rsid w:val="00424C9C"/>
    <w:rsid w:val="00425408"/>
    <w:rsid w:val="0043253D"/>
    <w:rsid w:val="00440D30"/>
    <w:rsid w:val="004672FA"/>
    <w:rsid w:val="00473C11"/>
    <w:rsid w:val="004814FA"/>
    <w:rsid w:val="0048582C"/>
    <w:rsid w:val="004A0750"/>
    <w:rsid w:val="004A238A"/>
    <w:rsid w:val="004A5252"/>
    <w:rsid w:val="004B287C"/>
    <w:rsid w:val="004C12DE"/>
    <w:rsid w:val="004C78B0"/>
    <w:rsid w:val="004D380B"/>
    <w:rsid w:val="004E0B70"/>
    <w:rsid w:val="00502221"/>
    <w:rsid w:val="00504248"/>
    <w:rsid w:val="005161CF"/>
    <w:rsid w:val="00521790"/>
    <w:rsid w:val="00523A04"/>
    <w:rsid w:val="00530386"/>
    <w:rsid w:val="00546A7F"/>
    <w:rsid w:val="0055173C"/>
    <w:rsid w:val="005729A0"/>
    <w:rsid w:val="00597ACB"/>
    <w:rsid w:val="005B5ED9"/>
    <w:rsid w:val="005C444A"/>
    <w:rsid w:val="005D0AED"/>
    <w:rsid w:val="005E6622"/>
    <w:rsid w:val="005F1353"/>
    <w:rsid w:val="006229B5"/>
    <w:rsid w:val="00624B8D"/>
    <w:rsid w:val="00626B1C"/>
    <w:rsid w:val="0064187E"/>
    <w:rsid w:val="00671788"/>
    <w:rsid w:val="006732DE"/>
    <w:rsid w:val="006764CC"/>
    <w:rsid w:val="006769BC"/>
    <w:rsid w:val="00690A7F"/>
    <w:rsid w:val="006932FC"/>
    <w:rsid w:val="006A6BD8"/>
    <w:rsid w:val="006B1AB2"/>
    <w:rsid w:val="006B772F"/>
    <w:rsid w:val="006D2ECA"/>
    <w:rsid w:val="00707A8C"/>
    <w:rsid w:val="007157E2"/>
    <w:rsid w:val="007175F7"/>
    <w:rsid w:val="00720B05"/>
    <w:rsid w:val="00723652"/>
    <w:rsid w:val="00766929"/>
    <w:rsid w:val="00770200"/>
    <w:rsid w:val="00777C4F"/>
    <w:rsid w:val="007A4176"/>
    <w:rsid w:val="007D4DF1"/>
    <w:rsid w:val="007D61A6"/>
    <w:rsid w:val="007E6288"/>
    <w:rsid w:val="007F40CB"/>
    <w:rsid w:val="007F6221"/>
    <w:rsid w:val="00820799"/>
    <w:rsid w:val="00827C35"/>
    <w:rsid w:val="008301D8"/>
    <w:rsid w:val="008303C9"/>
    <w:rsid w:val="00831E91"/>
    <w:rsid w:val="00833140"/>
    <w:rsid w:val="00841C54"/>
    <w:rsid w:val="008461BE"/>
    <w:rsid w:val="00855DF2"/>
    <w:rsid w:val="008673A1"/>
    <w:rsid w:val="008760F6"/>
    <w:rsid w:val="008768F1"/>
    <w:rsid w:val="00880F96"/>
    <w:rsid w:val="00883B6D"/>
    <w:rsid w:val="0088669D"/>
    <w:rsid w:val="00887AEB"/>
    <w:rsid w:val="008A6F90"/>
    <w:rsid w:val="008E1455"/>
    <w:rsid w:val="008F0C46"/>
    <w:rsid w:val="0091467B"/>
    <w:rsid w:val="00921DA7"/>
    <w:rsid w:val="00930E55"/>
    <w:rsid w:val="009433F3"/>
    <w:rsid w:val="00985ACB"/>
    <w:rsid w:val="009B0C43"/>
    <w:rsid w:val="009D1CB4"/>
    <w:rsid w:val="009D202C"/>
    <w:rsid w:val="009D4D5C"/>
    <w:rsid w:val="009D71D5"/>
    <w:rsid w:val="009E4C96"/>
    <w:rsid w:val="009F5614"/>
    <w:rsid w:val="009F63F9"/>
    <w:rsid w:val="00A074B5"/>
    <w:rsid w:val="00A124E5"/>
    <w:rsid w:val="00A15302"/>
    <w:rsid w:val="00A345C1"/>
    <w:rsid w:val="00A44BE4"/>
    <w:rsid w:val="00A47AD9"/>
    <w:rsid w:val="00A50250"/>
    <w:rsid w:val="00A56BDD"/>
    <w:rsid w:val="00A60380"/>
    <w:rsid w:val="00A62DAE"/>
    <w:rsid w:val="00A8112E"/>
    <w:rsid w:val="00A82CBF"/>
    <w:rsid w:val="00AA0284"/>
    <w:rsid w:val="00AB4BFE"/>
    <w:rsid w:val="00AC550F"/>
    <w:rsid w:val="00AE0924"/>
    <w:rsid w:val="00AE5147"/>
    <w:rsid w:val="00AE5F41"/>
    <w:rsid w:val="00B26686"/>
    <w:rsid w:val="00B456FF"/>
    <w:rsid w:val="00B5132D"/>
    <w:rsid w:val="00B63E0E"/>
    <w:rsid w:val="00B70B3E"/>
    <w:rsid w:val="00BA1320"/>
    <w:rsid w:val="00BC4991"/>
    <w:rsid w:val="00BD0663"/>
    <w:rsid w:val="00BD4AAD"/>
    <w:rsid w:val="00BD5EAE"/>
    <w:rsid w:val="00BE7E2E"/>
    <w:rsid w:val="00BF282B"/>
    <w:rsid w:val="00C0363D"/>
    <w:rsid w:val="00C11AB8"/>
    <w:rsid w:val="00C35D06"/>
    <w:rsid w:val="00C40EA8"/>
    <w:rsid w:val="00C600F5"/>
    <w:rsid w:val="00C73816"/>
    <w:rsid w:val="00C77AF7"/>
    <w:rsid w:val="00C85A21"/>
    <w:rsid w:val="00C92305"/>
    <w:rsid w:val="00C96D16"/>
    <w:rsid w:val="00CB2470"/>
    <w:rsid w:val="00CF0C82"/>
    <w:rsid w:val="00CF4C33"/>
    <w:rsid w:val="00D01F11"/>
    <w:rsid w:val="00D07F27"/>
    <w:rsid w:val="00D11F0E"/>
    <w:rsid w:val="00D17C48"/>
    <w:rsid w:val="00D216FC"/>
    <w:rsid w:val="00D21D96"/>
    <w:rsid w:val="00D22966"/>
    <w:rsid w:val="00D33604"/>
    <w:rsid w:val="00D35995"/>
    <w:rsid w:val="00D603FA"/>
    <w:rsid w:val="00D66E09"/>
    <w:rsid w:val="00D66E9D"/>
    <w:rsid w:val="00D713A5"/>
    <w:rsid w:val="00D75209"/>
    <w:rsid w:val="00D8399A"/>
    <w:rsid w:val="00DB2DAC"/>
    <w:rsid w:val="00DC5084"/>
    <w:rsid w:val="00DC59E4"/>
    <w:rsid w:val="00DF152D"/>
    <w:rsid w:val="00DF7A9C"/>
    <w:rsid w:val="00E07694"/>
    <w:rsid w:val="00E11731"/>
    <w:rsid w:val="00E31C04"/>
    <w:rsid w:val="00E32C31"/>
    <w:rsid w:val="00E64FAF"/>
    <w:rsid w:val="00E81440"/>
    <w:rsid w:val="00E97BA3"/>
    <w:rsid w:val="00EA07EC"/>
    <w:rsid w:val="00EB3FFE"/>
    <w:rsid w:val="00ED75CA"/>
    <w:rsid w:val="00EE472A"/>
    <w:rsid w:val="00EF1FED"/>
    <w:rsid w:val="00EF388D"/>
    <w:rsid w:val="00EF4F27"/>
    <w:rsid w:val="00F14AD0"/>
    <w:rsid w:val="00F230EA"/>
    <w:rsid w:val="00F37CCD"/>
    <w:rsid w:val="00F4117C"/>
    <w:rsid w:val="00F56375"/>
    <w:rsid w:val="00F5748A"/>
    <w:rsid w:val="00F57801"/>
    <w:rsid w:val="00F634BC"/>
    <w:rsid w:val="00F65AD5"/>
    <w:rsid w:val="00F66187"/>
    <w:rsid w:val="00F77F4D"/>
    <w:rsid w:val="00F91194"/>
    <w:rsid w:val="00FA0781"/>
    <w:rsid w:val="00FB3384"/>
    <w:rsid w:val="00FC5DC7"/>
    <w:rsid w:val="00FD2FB6"/>
    <w:rsid w:val="00FE4F4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67AD2671-A0A6-48F4-9B8A-37BA1742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D1"/>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character" w:customStyle="1" w:styleId="normaltextrun">
    <w:name w:val="normaltextrun"/>
    <w:basedOn w:val="Standardstycketeckensnitt"/>
    <w:rsid w:val="00EF4F27"/>
  </w:style>
  <w:style w:type="character" w:customStyle="1" w:styleId="eop">
    <w:name w:val="eop"/>
    <w:basedOn w:val="Standardstycketeckensnitt"/>
    <w:rsid w:val="00EF4F27"/>
  </w:style>
  <w:style w:type="paragraph" w:customStyle="1" w:styleId="paragraph">
    <w:name w:val="paragraph"/>
    <w:basedOn w:val="Normal"/>
    <w:rsid w:val="00A62DAE"/>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spellingerror">
    <w:name w:val="spellingerror"/>
    <w:basedOn w:val="Standardstycketeckensnitt"/>
    <w:rsid w:val="00A62DAE"/>
  </w:style>
  <w:style w:type="character" w:customStyle="1" w:styleId="scxw20521856">
    <w:name w:val="scxw20521856"/>
    <w:basedOn w:val="Standardstycketeckensnitt"/>
    <w:rsid w:val="005161CF"/>
  </w:style>
  <w:style w:type="character" w:styleId="Olstomnmnande">
    <w:name w:val="Unresolved Mention"/>
    <w:basedOn w:val="Standardstycketeckensnitt"/>
    <w:uiPriority w:val="99"/>
    <w:semiHidden/>
    <w:unhideWhenUsed/>
    <w:rsid w:val="00930E55"/>
    <w:rPr>
      <w:color w:val="605E5C"/>
      <w:shd w:val="clear" w:color="auto" w:fill="E1DFDD"/>
    </w:rPr>
  </w:style>
  <w:style w:type="character" w:styleId="AnvndHyperlnk">
    <w:name w:val="FollowedHyperlink"/>
    <w:basedOn w:val="Standardstycketeckensnitt"/>
    <w:uiPriority w:val="99"/>
    <w:semiHidden/>
    <w:unhideWhenUsed/>
    <w:rsid w:val="00930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4.goteborg.se/prod/Funktionsstod/LIS/Verksamhetshandbok/VerkGem.nsf/0/12F0DAA5AFDEE682C12587DE0030E8E1?OpenDocu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4.goteborg.se/prod/Funktionsstod/LIS/Verksamhetshandbok/VerkGem.nsf/0/FF601B08146BB618C12587DE0031D84D?OpenDocu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goteborg.se/prod/Stadsledningskontoret/LIS/Verksamhetshandbok/Forfattn.nsf/0/6C5BECAACA1950ECC1257F38004370A9?OpenDocume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6"/>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407E4"/>
    <w:rsid w:val="000C74B0"/>
    <w:rsid w:val="00114F0C"/>
    <w:rsid w:val="00127BE4"/>
    <w:rsid w:val="0016444C"/>
    <w:rsid w:val="00263706"/>
    <w:rsid w:val="002C6B8F"/>
    <w:rsid w:val="003345A5"/>
    <w:rsid w:val="003A2605"/>
    <w:rsid w:val="004150D8"/>
    <w:rsid w:val="004575B6"/>
    <w:rsid w:val="004B3108"/>
    <w:rsid w:val="004C1105"/>
    <w:rsid w:val="00544F30"/>
    <w:rsid w:val="005E4598"/>
    <w:rsid w:val="006241A7"/>
    <w:rsid w:val="007007D2"/>
    <w:rsid w:val="00742019"/>
    <w:rsid w:val="00AE3BA2"/>
    <w:rsid w:val="00B91A82"/>
    <w:rsid w:val="00C600F5"/>
    <w:rsid w:val="00C901C1"/>
    <w:rsid w:val="00E242BD"/>
    <w:rsid w:val="00F37CCD"/>
    <w:rsid w:val="00F91194"/>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6">
    <w:name w:val="7A505CFAB411498C99198938CA91DEAD6"/>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7911</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Göteborgs Stads rutin för förmedlingsärende</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rutin för förmedlingsärende</dc:title>
  <dc:subject/>
  <dc:creator>Göteborgs Stad</dc:creator>
  <dc:description/>
  <cp:lastModifiedBy>Fredrik Jansson</cp:lastModifiedBy>
  <cp:revision>21</cp:revision>
  <cp:lastPrinted>2024-06-05T12:02:00Z</cp:lastPrinted>
  <dcterms:created xsi:type="dcterms:W3CDTF">2024-04-16T07:16:00Z</dcterms:created>
  <dcterms:modified xsi:type="dcterms:W3CDTF">2025-06-17T08:58:00Z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